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200"/>
      </w:pPr>
    </w:p>
    <w:p>
      <w:pPr>
        <w:spacing w:after="200"/>
        <w:jc w:val="center"/>
      </w:pPr>
      <w:r>
        <w:rPr>
          <w:rFonts w:ascii="Arial" w:cs="Arial" w:eastAsia="Arial" w:hAnsi="Arial"/>
          <w:b/>
          <w:bCs/>
          <w:color w:val="1B3A5C"/>
          <w:sz w:val="44"/>
          <w:szCs w:val="44"/>
        </w:rPr>
        <w:t xml:space="preserve">FEASIBILITY REPORT</w:t>
      </w:r>
    </w:p>
    <w:p>
      <w:pPr>
        <w:pBdr>
          <w:bottom w:val="single" w:color="2E75B6" w:sz="6" w:space="8"/>
        </w:pBdr>
        <w:spacing w:after="400"/>
        <w:jc w:val="center"/>
      </w:pPr>
      <w:r>
        <w:rPr>
          <w:rFonts w:ascii="Arial" w:cs="Arial" w:eastAsia="Arial" w:hAnsi="Arial"/>
          <w:color w:val="2E75B6"/>
          <w:sz w:val="36"/>
          <w:szCs w:val="36"/>
        </w:rPr>
        <w:t xml:space="preserve">The New Homestead Act</w:t>
      </w:r>
    </w:p>
    <w:p>
      <w:pPr>
        <w:spacing w:after="100"/>
        <w:jc w:val="center"/>
      </w:pPr>
      <w:r>
        <w:rPr>
          <w:rFonts w:ascii="Arial" w:cs="Arial" w:eastAsia="Arial" w:hAnsi="Arial"/>
          <w:color w:val="666666"/>
          <w:sz w:val="24"/>
          <w:szCs w:val="24"/>
        </w:rPr>
        <w:t xml:space="preserve">A National Settlement Programme for Americans</w:t>
      </w:r>
    </w:p>
    <w:p>
      <w:pPr>
        <w:spacing w:after="100"/>
        <w:jc w:val="center"/>
      </w:pPr>
      <w:r>
        <w:rPr>
          <w:rFonts w:ascii="Arial" w:cs="Arial" w:eastAsia="Arial" w:hAnsi="Arial"/>
          <w:color w:val="666666"/>
          <w:sz w:val="24"/>
          <w:szCs w:val="24"/>
        </w:rPr>
        <w:t xml:space="preserve">and Aspiring Americans Alike</w:t>
      </w:r>
    </w:p>
    <w:p>
      <w:pPr>
        <w:spacing w:before="600"/>
      </w:pPr>
    </w:p>
    <w:p>
      <w:pPr>
        <w:spacing w:after="200"/>
        <w:jc w:val="center"/>
      </w:pPr>
      <w:r>
        <w:rPr>
          <w:rFonts w:ascii="Arial" w:cs="Arial" w:eastAsia="Arial" w:hAnsi="Arial"/>
          <w:i/>
          <w:iCs/>
          <w:color w:val="666666"/>
          <w:sz w:val="22"/>
          <w:szCs w:val="22"/>
        </w:rPr>
        <w:t xml:space="preserve">Opening undeveloped federal land to settlement by American families,</w:t>
      </w:r>
    </w:p>
    <w:p>
      <w:pPr>
        <w:spacing w:after="200"/>
        <w:jc w:val="center"/>
      </w:pPr>
      <w:r>
        <w:rPr>
          <w:rFonts w:ascii="Arial" w:cs="Arial" w:eastAsia="Arial" w:hAnsi="Arial"/>
          <w:i/>
          <w:iCs/>
          <w:color w:val="666666"/>
          <w:sz w:val="22"/>
          <w:szCs w:val="22"/>
        </w:rPr>
        <w:t xml:space="preserve">veterans, young workers, and immigrants seeking to build a future</w:t>
      </w:r>
    </w:p>
    <w:p>
      <w:pPr>
        <w:spacing w:before="800"/>
      </w:pPr>
    </w:p>
    <w:p>
      <w:pPr>
        <w:spacing w:after="80"/>
        <w:jc w:val="center"/>
      </w:pPr>
      <w:r>
        <w:rPr>
          <w:rFonts w:ascii="Arial" w:cs="Arial" w:eastAsia="Arial" w:hAnsi="Arial"/>
          <w:color w:val="666666"/>
          <w:sz w:val="22"/>
          <w:szCs w:val="22"/>
        </w:rPr>
        <w:t xml:space="preserve">Submitted for the Consideration of</w:t>
      </w:r>
    </w:p>
    <w:p>
      <w:pPr>
        <w:spacing w:after="80"/>
        <w:jc w:val="center"/>
      </w:pPr>
      <w:r>
        <w:rPr>
          <w:rFonts w:ascii="Arial" w:cs="Arial" w:eastAsia="Arial" w:hAnsi="Arial"/>
          <w:b/>
          <w:bCs/>
          <w:color w:val="1B3A5C"/>
          <w:sz w:val="24"/>
          <w:szCs w:val="24"/>
        </w:rPr>
        <w:t xml:space="preserve">The United States Congress</w:t>
      </w:r>
    </w:p>
    <w:p>
      <w:pPr>
        <w:spacing w:after="40"/>
        <w:jc w:val="center"/>
      </w:pPr>
      <w:r>
        <w:rPr>
          <w:rFonts w:ascii="Arial" w:cs="Arial" w:eastAsia="Arial" w:hAnsi="Arial"/>
          <w:color w:val="666666"/>
          <w:sz w:val="20"/>
          <w:szCs w:val="20"/>
        </w:rPr>
        <w:t xml:space="preserve">Committee on Homeland Security &amp; Governmental Affairs</w:t>
      </w:r>
    </w:p>
    <w:p>
      <w:pPr>
        <w:spacing w:after="40"/>
        <w:jc w:val="center"/>
      </w:pPr>
      <w:r>
        <w:rPr>
          <w:rFonts w:ascii="Arial" w:cs="Arial" w:eastAsia="Arial" w:hAnsi="Arial"/>
          <w:color w:val="666666"/>
          <w:sz w:val="20"/>
          <w:szCs w:val="20"/>
        </w:rPr>
        <w:t xml:space="preserve">Committee on Energy and Natural Resources</w:t>
      </w:r>
    </w:p>
    <w:p>
      <w:pPr>
        <w:spacing w:after="40"/>
        <w:jc w:val="center"/>
      </w:pPr>
      <w:r>
        <w:rPr>
          <w:rFonts w:ascii="Arial" w:cs="Arial" w:eastAsia="Arial" w:hAnsi="Arial"/>
          <w:color w:val="666666"/>
          <w:sz w:val="20"/>
          <w:szCs w:val="20"/>
        </w:rPr>
        <w:t xml:space="preserve">Committee on Banking, Housing, and Urban Affairs</w:t>
      </w:r>
    </w:p>
    <w:p>
      <w:pPr>
        <w:spacing w:after="40"/>
        <w:jc w:val="center"/>
      </w:pPr>
      <w:r>
        <w:rPr>
          <w:rFonts w:ascii="Arial" w:cs="Arial" w:eastAsia="Arial" w:hAnsi="Arial"/>
          <w:color w:val="666666"/>
          <w:sz w:val="20"/>
          <w:szCs w:val="20"/>
        </w:rPr>
        <w:t xml:space="preserve">Committee on Veterans’ Affairs</w:t>
      </w:r>
    </w:p>
    <w:p>
      <w:pPr>
        <w:spacing w:before="600"/>
      </w:pPr>
    </w:p>
    <w:p>
      <w:pPr>
        <w:jc w:val="center"/>
      </w:pPr>
      <w:r>
        <w:rPr>
          <w:rFonts w:ascii="Arial" w:cs="Arial" w:eastAsia="Arial" w:hAnsi="Arial"/>
          <w:color w:val="666666"/>
          <w:sz w:val="22"/>
          <w:szCs w:val="22"/>
        </w:rPr>
        <w:t xml:space="preserve">April 2026</w:t>
      </w:r>
    </w:p>
    <w:p>
      <w:pPr>
        <w:spacing w:before="100"/>
        <w:jc w:val="center"/>
      </w:pPr>
      <w:r>
        <w:rPr>
          <w:rFonts w:ascii="Arial" w:cs="Arial" w:eastAsia="Arial" w:hAnsi="Arial"/>
          <w:b/>
          <w:bCs/>
          <w:color w:val="CC0000"/>
          <w:sz w:val="22"/>
          <w:szCs w:val="22"/>
        </w:rPr>
        <w:t xml:space="preserve">DRAFT FOR DISCUSSION</w:t>
      </w:r>
    </w:p>
    <w:p>
      <w:pPr>
        <w:sectPr>
          <w:pgSz w:w="12240" w:h="15840" w:orient="portrait"/>
          <w:pgMar w:top="1440" w:right="1440" w:bottom="1440" w:left="1440" w:header="708" w:footer="708" w:gutter="0"/>
          <w:pgNumType/>
          <w:docGrid w:linePitch="360"/>
        </w:sectPr>
      </w:pPr>
    </w:p>
    <w:p>
      <w:pPr>
        <w:pStyle w:val="Heading1"/>
        <w:spacing w:after="200" w:before="360"/>
      </w:pPr>
      <w:r>
        <w:rPr>
          <w:rFonts w:ascii="Arial" w:cs="Arial" w:eastAsia="Arial" w:hAnsi="Arial"/>
          <w:b/>
          <w:bCs/>
          <w:color w:val="1B3A5C"/>
          <w:sz w:val="32"/>
          <w:szCs w:val="32"/>
        </w:rPr>
        <w:t xml:space="preserve">Executive Summary</w:t>
      </w:r>
    </w:p>
    <w:p>
      <w:pPr>
        <w:spacing w:after="120" w:before="120" w:line="276"/>
      </w:pPr>
      <w:r>
        <w:rPr>
          <w:rFonts w:ascii="Arial" w:cs="Arial" w:eastAsia="Arial" w:hAnsi="Arial"/>
          <w:sz w:val="22"/>
          <w:szCs w:val="22"/>
        </w:rPr>
        <w:t xml:space="preserve">The United States faces a convergence of challenges that are rarely examined together: a housing affordability crisis that has locked a generation out of homeownership; approximately 11 million undocumented immigrants in legal limbo; declining populations in rural regions that are losing economic viability; a veteran community seeking purpose and opportunity after service; and 640 million acres of federally owned land generating negligible economic return.</w:t>
      </w:r>
    </w:p>
    <w:p>
      <w:pPr>
        <w:spacing w:after="120" w:before="120" w:line="276"/>
      </w:pPr>
      <w:r>
        <w:rPr>
          <w:rFonts w:ascii="Arial" w:cs="Arial" w:eastAsia="Arial" w:hAnsi="Arial"/>
          <w:sz w:val="22"/>
          <w:szCs w:val="22"/>
        </w:rPr>
        <w:t xml:space="preserve">This report proposes the New Homestead Act (NHA): a national settlement programme that opens designated federal land to voluntary settlement by any qualifying participant — American citizens, permanent residents, veterans, and undocumented immigrants alike. Rather than treating immigration as a problem to be enforced away or housing as a crisis to be subsidised indefinitely, the NHA creates new communities on underutilised land, giving Americans and aspiring Americans the opportunity to build something from the ground up.</w:t>
      </w:r>
    </w:p>
    <w:p>
      <w:pPr>
        <w:spacing w:after="120" w:before="120" w:line="276"/>
      </w:pPr>
      <w:r>
        <w:rPr>
          <w:rFonts w:ascii="Arial" w:cs="Arial" w:eastAsia="Arial" w:hAnsi="Arial"/>
          <w:sz w:val="22"/>
          <w:szCs w:val="22"/>
        </w:rPr>
        <w:t xml:space="preserve">The programme draws on the deepest tradition in American public policy: the original Homestead Acts distributed 270 million acres to 1.6 million families between 1862 and 1976, creating the economic foundation of the modern Midwest and West. The NHA applies the same principle with modern infrastructure, governance, and economic development tools.</w:t>
      </w:r>
    </w:p>
    <w:p>
      <w:pPr>
        <w:spacing w:after="120" w:before="120" w:line="276"/>
      </w:pPr>
      <w:r>
        <w:rPr>
          <w:rFonts w:ascii="Arial" w:cs="Arial" w:eastAsia="Arial" w:hAnsi="Arial"/>
          <w:sz w:val="22"/>
          <w:szCs w:val="22"/>
        </w:rPr>
        <w:t xml:space="preserve">This report assesses the constitutional authority, candidate geographies, infrastructure requirements, governance framework, participant eligibility, cost projections, economic modelling, and political considerations for establishing pilot settlement territories. It concludes that the initiative is legally feasible, economically superior to current approaches to both housing and immigration, and capable of building the broad political coalition necessary for enactment.</w:t>
      </w:r>
    </w:p>
    <w:p>
      <w:pPr>
        <w:pBdr>
          <w:left w:val="single" w:color="2E75B6" w:sz="12" w:space="8"/>
        </w:pBdr>
        <w:spacing w:after="200" w:before="200"/>
        <w:ind w:left="360"/>
      </w:pPr>
      <w:r>
        <w:rPr>
          <w:rFonts w:ascii="Arial" w:cs="Arial" w:eastAsia="Arial" w:hAnsi="Arial"/>
          <w:i/>
          <w:iCs/>
          <w:color w:val="1B3A5C"/>
          <w:sz w:val="22"/>
          <w:szCs w:val="22"/>
        </w:rPr>
        <w:t xml:space="preserve">Everyone starts from the same line. What you build is yours.</w:t>
      </w:r>
    </w:p>
    <w:p>
      <w:pPr>
        <w:pStyle w:val="Heading1"/>
        <w:spacing w:after="200" w:before="360"/>
      </w:pPr>
      <w:r>
        <w:rPr>
          <w:rFonts w:ascii="Arial" w:cs="Arial" w:eastAsia="Arial" w:hAnsi="Arial"/>
          <w:b/>
          <w:bCs/>
          <w:color w:val="1B3A5C"/>
          <w:sz w:val="32"/>
          <w:szCs w:val="32"/>
        </w:rPr>
        <w:t xml:space="preserve">1. The Case for Action</w:t>
      </w:r>
    </w:p>
    <w:p>
      <w:pPr>
        <w:pStyle w:val="Heading2"/>
        <w:spacing w:after="160" w:before="280"/>
      </w:pPr>
      <w:r>
        <w:rPr>
          <w:rFonts w:ascii="Arial" w:cs="Arial" w:eastAsia="Arial" w:hAnsi="Arial"/>
          <w:b/>
          <w:bCs/>
          <w:color w:val="2E75B6"/>
          <w:sz w:val="26"/>
          <w:szCs w:val="26"/>
        </w:rPr>
        <w:t xml:space="preserve">1.1 The Housing Crisis</w:t>
      </w:r>
    </w:p>
    <w:p>
      <w:pPr>
        <w:spacing w:after="120" w:before="120" w:line="276"/>
      </w:pPr>
      <w:r>
        <w:rPr>
          <w:rFonts w:ascii="Arial" w:cs="Arial" w:eastAsia="Arial" w:hAnsi="Arial"/>
          <w:sz w:val="22"/>
          <w:szCs w:val="22"/>
        </w:rPr>
        <w:t xml:space="preserve">The median US home price has exceeded $400,000, placing homeownership beyond reach for millions of American families. In major metropolitan areas, a household earning the median income cannot afford a median-priced home in any of the 50 largest cities. The rental market offers no relief: median rent now consumes over 30% of income for the majority of American renters, the threshold the federal government defines as cost-burdened.</w:t>
      </w:r>
    </w:p>
    <w:p>
      <w:pPr>
        <w:spacing w:after="120" w:before="120" w:line="276"/>
      </w:pPr>
      <w:r>
        <w:rPr>
          <w:rFonts w:ascii="Arial" w:cs="Arial" w:eastAsia="Arial" w:hAnsi="Arial"/>
          <w:sz w:val="22"/>
          <w:szCs w:val="22"/>
        </w:rPr>
        <w:t xml:space="preserve">The root cause is supply. The United States has underbuilt housing by an estimated 4–7 million units over the past two decades. Zoning restrictions, construction costs, land prices, and NIMBYism in existing communities make closing this gap within established metropolitan areas extremely slow and politically fraught. The NHA addresses the supply crisis at its most fundamental level: by creating entirely new communities on land that currently has no housing at all.</w:t>
      </w:r>
    </w:p>
    <w:p>
      <w:pPr>
        <w:pStyle w:val="Heading2"/>
        <w:spacing w:after="160" w:before="280"/>
      </w:pPr>
      <w:r>
        <w:rPr>
          <w:rFonts w:ascii="Arial" w:cs="Arial" w:eastAsia="Arial" w:hAnsi="Arial"/>
          <w:b/>
          <w:bCs/>
          <w:color w:val="2E75B6"/>
          <w:sz w:val="26"/>
          <w:szCs w:val="26"/>
        </w:rPr>
        <w:t xml:space="preserve">1.2 The Immigration Stalemate</w:t>
      </w:r>
    </w:p>
    <w:p>
      <w:pPr>
        <w:spacing w:after="120" w:before="120" w:line="276"/>
      </w:pPr>
      <w:r>
        <w:rPr>
          <w:rFonts w:ascii="Arial" w:cs="Arial" w:eastAsia="Arial" w:hAnsi="Arial"/>
          <w:sz w:val="22"/>
          <w:szCs w:val="22"/>
        </w:rPr>
        <w:t xml:space="preserve">An estimated 11 million undocumented immigrants live and work in the United States. Current enforcement policy spends approximately $25–30 billion annually on border and interior enforcement, with proposals for mass deportation estimated at $100–300 billion over a decade. This spending produces no economic return and has not resolved the underlying situation. Meanwhile, these individuals contribute an estimated $12–15 billion annually in taxes while being excluded from the legal economy and civic life.</w:t>
      </w:r>
    </w:p>
    <w:p>
      <w:pPr>
        <w:spacing w:after="120" w:before="120" w:line="276"/>
      </w:pPr>
      <w:r>
        <w:rPr>
          <w:rFonts w:ascii="Arial" w:cs="Arial" w:eastAsia="Arial" w:hAnsi="Arial"/>
          <w:sz w:val="22"/>
          <w:szCs w:val="22"/>
        </w:rPr>
        <w:t xml:space="preserve">The NHA offers a third path between mass deportation and unconditional amnesty: legal status earned through participation in building new American communities. This frames immigration not as a problem or a gift, but as an exchange — opportunity in return for contribution.</w:t>
      </w:r>
    </w:p>
    <w:p>
      <w:pPr>
        <w:pStyle w:val="Heading2"/>
        <w:spacing w:after="160" w:before="280"/>
      </w:pPr>
      <w:r>
        <w:rPr>
          <w:rFonts w:ascii="Arial" w:cs="Arial" w:eastAsia="Arial" w:hAnsi="Arial"/>
          <w:b/>
          <w:bCs/>
          <w:color w:val="2E75B6"/>
          <w:sz w:val="26"/>
          <w:szCs w:val="26"/>
        </w:rPr>
        <w:t xml:space="preserve">1.3 Rural Decline</w:t>
      </w:r>
    </w:p>
    <w:p>
      <w:pPr>
        <w:spacing w:after="120" w:before="120" w:line="276"/>
      </w:pPr>
      <w:r>
        <w:rPr>
          <w:rFonts w:ascii="Arial" w:cs="Arial" w:eastAsia="Arial" w:hAnsi="Arial"/>
          <w:sz w:val="22"/>
          <w:szCs w:val="22"/>
        </w:rPr>
        <w:t xml:space="preserve">Over 40% of US counties have lost population since 2010, overwhelmingly in rural areas. Small towns across the Great Plains, Appalachia, and the rural South are losing schools, hospitals, and economic viability. Federal investment in these regions has declined as political attention concentrates on metropolitan areas. The NHA creates new population centres in underdeveloped regions, generating economic spillover that benefits surrounding rural communities through demand for goods, services, and labour.</w:t>
      </w:r>
    </w:p>
    <w:p>
      <w:pPr>
        <w:pStyle w:val="Heading2"/>
        <w:spacing w:after="160" w:before="280"/>
      </w:pPr>
      <w:r>
        <w:rPr>
          <w:rFonts w:ascii="Arial" w:cs="Arial" w:eastAsia="Arial" w:hAnsi="Arial"/>
          <w:b/>
          <w:bCs/>
          <w:color w:val="2E75B6"/>
          <w:sz w:val="26"/>
          <w:szCs w:val="26"/>
        </w:rPr>
        <w:t xml:space="preserve">1.4 Veteran Transition</w:t>
      </w:r>
    </w:p>
    <w:p>
      <w:pPr>
        <w:spacing w:after="120" w:before="120" w:line="276"/>
      </w:pPr>
      <w:r>
        <w:rPr>
          <w:rFonts w:ascii="Arial" w:cs="Arial" w:eastAsia="Arial" w:hAnsi="Arial"/>
          <w:sz w:val="22"/>
          <w:szCs w:val="22"/>
        </w:rPr>
        <w:t xml:space="preserve">Approximately 200,000 service members transition out of the military annually. Many face challenges in housing, employment, and purpose. Veteran homelessness remains a persistent national concern. The original Homestead Act was explicitly designed to serve Civil War veterans; the NHA honours that tradition by offering veterans priority access to settlement land, housing support, and leadership roles in territorial governance.</w:t>
      </w:r>
    </w:p>
    <w:p>
      <w:pPr>
        <w:pStyle w:val="Heading2"/>
        <w:spacing w:after="160" w:before="280"/>
      </w:pPr>
      <w:r>
        <w:rPr>
          <w:rFonts w:ascii="Arial" w:cs="Arial" w:eastAsia="Arial" w:hAnsi="Arial"/>
          <w:b/>
          <w:bCs/>
          <w:color w:val="2E75B6"/>
          <w:sz w:val="26"/>
          <w:szCs w:val="26"/>
        </w:rPr>
        <w:t xml:space="preserve">1.5 The Opportunity</w:t>
      </w:r>
    </w:p>
    <w:p>
      <w:pPr>
        <w:spacing w:after="120" w:before="120" w:line="276"/>
      </w:pPr>
      <w:r>
        <w:rPr>
          <w:rFonts w:ascii="Arial" w:cs="Arial" w:eastAsia="Arial" w:hAnsi="Arial"/>
          <w:sz w:val="22"/>
          <w:szCs w:val="22"/>
        </w:rPr>
        <w:t xml:space="preserve">These are not four separate problems. They are four dimensions of a single mismatch: millions of people who need opportunity, and millions of acres of land sitting idle. The NHA connects them.</w:t>
      </w:r>
    </w:p>
    <w:p>
      <w:pPr>
        <w:pStyle w:val="Heading1"/>
        <w:spacing w:after="200" w:before="360"/>
      </w:pPr>
      <w:r>
        <w:rPr>
          <w:rFonts w:ascii="Arial" w:cs="Arial" w:eastAsia="Arial" w:hAnsi="Arial"/>
          <w:b/>
          <w:bCs/>
          <w:color w:val="1B3A5C"/>
          <w:sz w:val="32"/>
          <w:szCs w:val="32"/>
        </w:rPr>
        <w:t xml:space="preserve">2. Constitutional and Legal Authority</w:t>
      </w:r>
    </w:p>
    <w:p>
      <w:pPr>
        <w:pStyle w:val="Heading2"/>
        <w:spacing w:after="160" w:before="280"/>
      </w:pPr>
      <w:r>
        <w:rPr>
          <w:rFonts w:ascii="Arial" w:cs="Arial" w:eastAsia="Arial" w:hAnsi="Arial"/>
          <w:b/>
          <w:bCs/>
          <w:color w:val="2E75B6"/>
          <w:sz w:val="26"/>
          <w:szCs w:val="26"/>
        </w:rPr>
        <w:t xml:space="preserve">2.1 Congressional Powers</w:t>
      </w:r>
    </w:p>
    <w:p>
      <w:pPr>
        <w:spacing w:after="120" w:before="120" w:line="276"/>
      </w:pPr>
      <w:r>
        <w:rPr>
          <w:rFonts w:ascii="Arial" w:cs="Arial" w:eastAsia="Arial" w:hAnsi="Arial"/>
          <w:sz w:val="22"/>
          <w:szCs w:val="22"/>
        </w:rPr>
        <w:t xml:space="preserve">Article IV, Section 3 of the Constitution grants Congress plenary authority over federal territory. Congress has exercised this power to create over 30 organised territories since 1787. The Property Clause empowers Congress to dispose of and regulate federal land without requiring constitutional amendment. A simple majority in both chambers, plus presidential signature, is sufficient to designate settlement territories, establish governance frameworks, and create new categories of land grants.</w:t>
      </w:r>
    </w:p>
    <w:p>
      <w:pPr>
        <w:spacing w:after="120" w:before="120" w:line="276"/>
      </w:pPr>
      <w:r>
        <w:rPr>
          <w:rFonts w:ascii="Arial" w:cs="Arial" w:eastAsia="Arial" w:hAnsi="Arial"/>
          <w:sz w:val="22"/>
          <w:szCs w:val="22"/>
        </w:rPr>
        <w:t xml:space="preserve">Congressional authority over immigration (Article I, Section 8) and spending (Article I, Section 9) provides the remaining legal foundation for the settlement visa programme and infrastructure investment. The combination of territorial, immigration, and spending powers gives Congress all the authority needed to enact the NHA without novel constitutional claims.</w:t>
      </w:r>
    </w:p>
    <w:p>
      <w:pPr>
        <w:pStyle w:val="Heading2"/>
        <w:spacing w:after="160" w:before="280"/>
      </w:pPr>
      <w:r>
        <w:rPr>
          <w:rFonts w:ascii="Arial" w:cs="Arial" w:eastAsia="Arial" w:hAnsi="Arial"/>
          <w:b/>
          <w:bCs/>
          <w:color w:val="2E75B6"/>
          <w:sz w:val="26"/>
          <w:szCs w:val="26"/>
        </w:rPr>
        <w:t xml:space="preserve">2.2 Historical Precedents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6160"/>
      </w:tblGrid>
      <w:t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Precedent</w:t>
            </w:r>
          </w:p>
        </w:tc>
        <w:tc>
          <w:tcPr>
            <w:tcW w:type="dxa" w:w="1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Date</w:t>
            </w:r>
          </w:p>
        </w:tc>
        <w:tc>
          <w:tcPr>
            <w:tcW w:type="dxa" w:w="61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Relevance to the NHA</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Homestead Act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1862</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Distributed 270 million acres to 1.6 million families who improved the land over 5 years. Directly analogous programme at smaller initial scale.</w:t>
            </w:r>
          </w:p>
        </w:tc>
      </w:tr>
      <w:tr>
        <w:tc>
          <w:tcPr>
            <w:tcW w:type="dxa" w:w="20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Oklahoma Land Runs</w:t>
            </w:r>
          </w:p>
        </w:tc>
        <w:tc>
          <w:tcPr>
            <w:tcW w:type="dxa" w:w="12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1889–1895</w:t>
            </w:r>
          </w:p>
        </w:tc>
        <w:tc>
          <w:tcPr>
            <w:tcW w:type="dxa" w:w="616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Managed mass settlement of 2 million acres. Demonstrated federal capacity to organise rapid, large-scale civilian settlement on previously unoccupied land.</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Servicemen’s Readjustment Act (GI Bill)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1944</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Federal investment in housing, education, and economic opportunity for veterans. Created the American middle class. NHA veteran provisions follow this model.</w:t>
            </w:r>
          </w:p>
        </w:tc>
      </w:tr>
      <w:tr>
        <w:tc>
          <w:tcPr>
            <w:tcW w:type="dxa" w:w="20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Tennessee Valley Authority</w:t>
            </w:r>
          </w:p>
        </w:tc>
        <w:tc>
          <w:tcPr>
            <w:tcW w:type="dxa" w:w="12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1933</w:t>
            </w:r>
          </w:p>
        </w:tc>
        <w:tc>
          <w:tcPr>
            <w:tcW w:type="dxa" w:w="616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Federal infrastructure investment transforming an underdeveloped region into an economic powerhouse. Model for NHA infrastructure phasing.</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Northwest Ordinance</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1787</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Established the template for territorial governance, civil rights protections, and path to statehood that the NHA territorial charter follows.</w:t>
            </w:r>
          </w:p>
        </w:tc>
      </w:tr>
      <w:tr>
        <w:tc>
          <w:tcPr>
            <w:tcW w:type="dxa" w:w="20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Alaska Statehood Act</w:t>
            </w:r>
          </w:p>
        </w:tc>
        <w:tc>
          <w:tcPr>
            <w:tcW w:type="dxa" w:w="12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1958</w:t>
            </w:r>
          </w:p>
        </w:tc>
        <w:tc>
          <w:tcPr>
            <w:tcW w:type="dxa" w:w="616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Territory-to-state transition for sparsely populated federal land. Demonstrates that remote, harsh-climate territories can achieve statehood.</w:t>
            </w:r>
          </w:p>
        </w:tc>
      </w:tr>
    </w:tbl>
    <w:p>
      <w:pPr>
        <w:spacing w:after="60" w:before="60"/>
      </w:pPr>
    </w:p>
    <w:p>
      <w:pPr>
        <w:pStyle w:val="Heading1"/>
        <w:spacing w:after="200" w:before="360"/>
      </w:pPr>
      <w:r>
        <w:rPr>
          <w:rFonts w:ascii="Arial" w:cs="Arial" w:eastAsia="Arial" w:hAnsi="Arial"/>
          <w:b/>
          <w:bCs/>
          <w:color w:val="1B3A5C"/>
          <w:sz w:val="32"/>
          <w:szCs w:val="32"/>
        </w:rPr>
        <w:t xml:space="preserve">3. Participant Eligibility and Incentives</w:t>
      </w:r>
    </w:p>
    <w:p>
      <w:pPr>
        <w:spacing w:after="120" w:before="120" w:line="276"/>
      </w:pPr>
      <w:r>
        <w:rPr>
          <w:rFonts w:ascii="Arial" w:cs="Arial" w:eastAsia="Arial" w:hAnsi="Arial"/>
          <w:sz w:val="22"/>
          <w:szCs w:val="22"/>
        </w:rPr>
        <w:t xml:space="preserve">The NHA is open to any individual or family willing to relocate to a designated settlement territory and commit to a minimum residency period. The programme is designed to serve multiple constituencies through a unified framework, with targeted incentives for each group.</w:t>
      </w:r>
    </w:p>
    <w:p>
      <w:pPr>
        <w:pStyle w:val="Heading2"/>
        <w:spacing w:after="160" w:before="280"/>
      </w:pPr>
      <w:r>
        <w:rPr>
          <w:rFonts w:ascii="Arial" w:cs="Arial" w:eastAsia="Arial" w:hAnsi="Arial"/>
          <w:b/>
          <w:bCs/>
          <w:color w:val="2E75B6"/>
          <w:sz w:val="26"/>
          <w:szCs w:val="26"/>
        </w:rPr>
        <w:t xml:space="preserve">3.1 American Families and Individuals</w:t>
      </w:r>
    </w:p>
    <w:p>
      <w:pPr>
        <w:spacing w:after="120" w:before="120" w:line="276"/>
      </w:pPr>
      <w:r>
        <w:rPr>
          <w:rFonts w:ascii="Arial" w:cs="Arial" w:eastAsia="Arial" w:hAnsi="Arial"/>
          <w:b/>
          <w:bCs/>
          <w:sz w:val="22"/>
          <w:szCs w:val="22"/>
        </w:rPr>
        <w:t xml:space="preserve">Eligibility: </w:t>
      </w:r>
      <w:r>
        <w:rPr>
          <w:rFonts w:ascii="Arial" w:cs="Arial" w:eastAsia="Arial" w:hAnsi="Arial"/>
          <w:sz w:val="22"/>
          <w:szCs w:val="22"/>
        </w:rPr>
        <w:t xml:space="preserve">Any US citizen or permanent resident aged 18 or older.</w:t>
      </w:r>
    </w:p>
    <w:p>
      <w:pPr>
        <w:spacing w:after="120" w:before="120" w:line="276"/>
      </w:pPr>
      <w:r>
        <w:rPr>
          <w:rFonts w:ascii="Arial" w:cs="Arial" w:eastAsia="Arial" w:hAnsi="Arial"/>
          <w:b/>
          <w:bCs/>
          <w:sz w:val="22"/>
          <w:szCs w:val="22"/>
        </w:rPr>
        <w:t xml:space="preserve">Incentive: </w:t>
      </w:r>
      <w:r>
        <w:rPr>
          <w:rFonts w:ascii="Arial" w:cs="Arial" w:eastAsia="Arial" w:hAnsi="Arial"/>
          <w:sz w:val="22"/>
          <w:szCs w:val="22"/>
        </w:rPr>
        <w:t xml:space="preserve">Residential land grant (quarter-acre to 5 acres depending on location and zone); subsidised construction financing at below-market rates; property tax holiday for the first 5 years; priority access to territorial employment in infrastructure construction, public services, and economic development programmes.</w:t>
      </w:r>
    </w:p>
    <w:p>
      <w:pPr>
        <w:spacing w:after="120" w:before="120" w:line="276"/>
      </w:pPr>
      <w:r>
        <w:rPr>
          <w:rFonts w:ascii="Arial" w:cs="Arial" w:eastAsia="Arial" w:hAnsi="Arial"/>
          <w:b/>
          <w:bCs/>
          <w:sz w:val="22"/>
          <w:szCs w:val="22"/>
        </w:rPr>
        <w:t xml:space="preserve">Residency requirement: </w:t>
      </w:r>
      <w:r>
        <w:rPr>
          <w:rFonts w:ascii="Arial" w:cs="Arial" w:eastAsia="Arial" w:hAnsi="Arial"/>
          <w:sz w:val="22"/>
          <w:szCs w:val="22"/>
        </w:rPr>
        <w:t xml:space="preserve">Minimum 3 years of continuous residency to vest full ownership of land grant. Participants may leave at any time but forfeit unvested land rights.</w:t>
      </w:r>
    </w:p>
    <w:p>
      <w:pPr>
        <w:spacing w:after="120" w:before="120" w:line="276"/>
      </w:pPr>
      <w:r>
        <w:rPr>
          <w:rFonts w:ascii="Arial" w:cs="Arial" w:eastAsia="Arial" w:hAnsi="Arial"/>
          <w:sz w:val="22"/>
          <w:szCs w:val="22"/>
        </w:rPr>
        <w:t xml:space="preserve">This track directly addresses the housing crisis. A family currently priced out of homeownership in Denver, Phoenix, or Charlotte could own land and a home in the settlement territory with federal financing support comparable to existing FHA and USDA rural development programmes.</w:t>
      </w:r>
    </w:p>
    <w:p>
      <w:pPr>
        <w:pStyle w:val="Heading2"/>
        <w:spacing w:after="160" w:before="280"/>
      </w:pPr>
      <w:r>
        <w:rPr>
          <w:rFonts w:ascii="Arial" w:cs="Arial" w:eastAsia="Arial" w:hAnsi="Arial"/>
          <w:b/>
          <w:bCs/>
          <w:color w:val="2E75B6"/>
          <w:sz w:val="26"/>
          <w:szCs w:val="26"/>
        </w:rPr>
        <w:t xml:space="preserve">3.2 Veterans</w:t>
      </w:r>
    </w:p>
    <w:p>
      <w:pPr>
        <w:spacing w:after="120" w:before="120" w:line="276"/>
      </w:pPr>
      <w:r>
        <w:rPr>
          <w:rFonts w:ascii="Arial" w:cs="Arial" w:eastAsia="Arial" w:hAnsi="Arial"/>
          <w:b/>
          <w:bCs/>
          <w:sz w:val="22"/>
          <w:szCs w:val="22"/>
        </w:rPr>
        <w:t xml:space="preserve">Eligibility: </w:t>
      </w:r>
      <w:r>
        <w:rPr>
          <w:rFonts w:ascii="Arial" w:cs="Arial" w:eastAsia="Arial" w:hAnsi="Arial"/>
          <w:sz w:val="22"/>
          <w:szCs w:val="22"/>
        </w:rPr>
        <w:t xml:space="preserve">Any honourably discharged veteran or active-duty service member transitioning to civilian life.</w:t>
      </w:r>
    </w:p>
    <w:p>
      <w:pPr>
        <w:spacing w:after="120" w:before="120" w:line="276"/>
      </w:pPr>
      <w:r>
        <w:rPr>
          <w:rFonts w:ascii="Arial" w:cs="Arial" w:eastAsia="Arial" w:hAnsi="Arial"/>
          <w:b/>
          <w:bCs/>
          <w:sz w:val="22"/>
          <w:szCs w:val="22"/>
        </w:rPr>
        <w:t xml:space="preserve">Incentive: </w:t>
      </w:r>
      <w:r>
        <w:rPr>
          <w:rFonts w:ascii="Arial" w:cs="Arial" w:eastAsia="Arial" w:hAnsi="Arial"/>
          <w:sz w:val="22"/>
          <w:szCs w:val="22"/>
        </w:rPr>
        <w:t xml:space="preserve">Enhanced land grant (up to 10 acres); zero-interest construction loan; full transferability of VA benefits to the territory; priority hiring for territorial law enforcement, emergency services, infrastructure management, and governance positions; dedicated veteran support services on-site.</w:t>
      </w:r>
    </w:p>
    <w:p>
      <w:pPr>
        <w:spacing w:after="120" w:before="120" w:line="276"/>
      </w:pPr>
      <w:r>
        <w:rPr>
          <w:rFonts w:ascii="Arial" w:cs="Arial" w:eastAsia="Arial" w:hAnsi="Arial"/>
          <w:b/>
          <w:bCs/>
          <w:sz w:val="22"/>
          <w:szCs w:val="22"/>
        </w:rPr>
        <w:t xml:space="preserve">Residency requirement: </w:t>
      </w:r>
      <w:r>
        <w:rPr>
          <w:rFonts w:ascii="Arial" w:cs="Arial" w:eastAsia="Arial" w:hAnsi="Arial"/>
          <w:sz w:val="22"/>
          <w:szCs w:val="22"/>
        </w:rPr>
        <w:t xml:space="preserve">Minimum 2 years (reduced from standard 3 years) to vest full ownership.</w:t>
      </w:r>
    </w:p>
    <w:p>
      <w:pPr>
        <w:spacing w:after="120" w:before="120" w:line="276"/>
      </w:pPr>
      <w:r>
        <w:rPr>
          <w:rFonts w:ascii="Arial" w:cs="Arial" w:eastAsia="Arial" w:hAnsi="Arial"/>
          <w:sz w:val="22"/>
          <w:szCs w:val="22"/>
        </w:rPr>
        <w:t xml:space="preserve">Veterans bring exactly the skills a new community needs: leadership, logistics, construction, security, and the ability to build functional organisations from scratch. The NHA is designed to recognise and leverage those skills while providing the land, housing, and purpose that many veterans seek after service.</w:t>
      </w:r>
    </w:p>
    <w:p>
      <w:pPr>
        <w:pStyle w:val="Heading2"/>
        <w:spacing w:after="160" w:before="280"/>
      </w:pPr>
      <w:r>
        <w:rPr>
          <w:rFonts w:ascii="Arial" w:cs="Arial" w:eastAsia="Arial" w:hAnsi="Arial"/>
          <w:b/>
          <w:bCs/>
          <w:color w:val="2E75B6"/>
          <w:sz w:val="26"/>
          <w:szCs w:val="26"/>
        </w:rPr>
        <w:t xml:space="preserve">3.3 Young Workers and Remote Professionals</w:t>
      </w:r>
    </w:p>
    <w:p>
      <w:pPr>
        <w:spacing w:after="120" w:before="120" w:line="276"/>
      </w:pPr>
      <w:r>
        <w:rPr>
          <w:rFonts w:ascii="Arial" w:cs="Arial" w:eastAsia="Arial" w:hAnsi="Arial"/>
          <w:b/>
          <w:bCs/>
          <w:sz w:val="22"/>
          <w:szCs w:val="22"/>
        </w:rPr>
        <w:t xml:space="preserve">Eligibility: </w:t>
      </w:r>
      <w:r>
        <w:rPr>
          <w:rFonts w:ascii="Arial" w:cs="Arial" w:eastAsia="Arial" w:hAnsi="Arial"/>
          <w:sz w:val="22"/>
          <w:szCs w:val="22"/>
        </w:rPr>
        <w:t xml:space="preserve">Any US citizen or permanent resident. No age restriction, though programme design targets 22–40 demographic.</w:t>
      </w:r>
    </w:p>
    <w:p>
      <w:pPr>
        <w:spacing w:after="120" w:before="120" w:line="276"/>
      </w:pPr>
      <w:r>
        <w:rPr>
          <w:rFonts w:ascii="Arial" w:cs="Arial" w:eastAsia="Arial" w:hAnsi="Arial"/>
          <w:b/>
          <w:bCs/>
          <w:sz w:val="22"/>
          <w:szCs w:val="22"/>
        </w:rPr>
        <w:t xml:space="preserve">Incentive: </w:t>
      </w:r>
      <w:r>
        <w:rPr>
          <w:rFonts w:ascii="Arial" w:cs="Arial" w:eastAsia="Arial" w:hAnsi="Arial"/>
          <w:sz w:val="22"/>
          <w:szCs w:val="22"/>
        </w:rPr>
        <w:t xml:space="preserve">Land grant; gigabit broadband from day one; co-working and incubator facilities; small business grants for enterprises that serve the settlement community; student loan forgiveness for participants in designated public service roles (teaching, healthcare, law enforcement) within the territory.</w:t>
      </w:r>
    </w:p>
    <w:p>
      <w:pPr>
        <w:spacing w:after="120" w:before="120" w:line="276"/>
      </w:pPr>
      <w:r>
        <w:rPr>
          <w:rFonts w:ascii="Arial" w:cs="Arial" w:eastAsia="Arial" w:hAnsi="Arial"/>
          <w:sz w:val="22"/>
          <w:szCs w:val="22"/>
        </w:rPr>
        <w:t xml:space="preserve">The settlement territories will be among the first communities in the US built with fibre-optic broadband, renewable energy, and modern urban design from the ground up. For remote workers and entrepreneurs, this is an opportunity to live in an affordable, well-connected community that doesn’t exist yet anywhere in the country.</w:t>
      </w:r>
    </w:p>
    <w:p>
      <w:pPr>
        <w:pStyle w:val="Heading2"/>
        <w:spacing w:after="160" w:before="280"/>
      </w:pPr>
      <w:r>
        <w:rPr>
          <w:rFonts w:ascii="Arial" w:cs="Arial" w:eastAsia="Arial" w:hAnsi="Arial"/>
          <w:b/>
          <w:bCs/>
          <w:color w:val="2E75B6"/>
          <w:sz w:val="26"/>
          <w:szCs w:val="26"/>
        </w:rPr>
        <w:t xml:space="preserve">3.4 Undocumented Immigrants</w:t>
      </w:r>
    </w:p>
    <w:p>
      <w:pPr>
        <w:spacing w:after="120" w:before="120" w:line="276"/>
      </w:pPr>
      <w:r>
        <w:rPr>
          <w:rFonts w:ascii="Arial" w:cs="Arial" w:eastAsia="Arial" w:hAnsi="Arial"/>
          <w:b/>
          <w:bCs/>
          <w:sz w:val="22"/>
          <w:szCs w:val="22"/>
        </w:rPr>
        <w:t xml:space="preserve">Eligibility: </w:t>
      </w:r>
      <w:r>
        <w:rPr>
          <w:rFonts w:ascii="Arial" w:cs="Arial" w:eastAsia="Arial" w:hAnsi="Arial"/>
          <w:sz w:val="22"/>
          <w:szCs w:val="22"/>
        </w:rPr>
        <w:t xml:space="preserve">Any undocumented individual currently present in the United States who passes a background check and biometric registration.</w:t>
      </w:r>
    </w:p>
    <w:p>
      <w:pPr>
        <w:spacing w:after="120" w:before="120" w:line="276"/>
      </w:pPr>
      <w:r>
        <w:rPr>
          <w:rFonts w:ascii="Arial" w:cs="Arial" w:eastAsia="Arial" w:hAnsi="Arial"/>
          <w:b/>
          <w:bCs/>
          <w:sz w:val="22"/>
          <w:szCs w:val="22"/>
        </w:rPr>
        <w:t xml:space="preserve">Incentive: </w:t>
      </w:r>
      <w:r>
        <w:rPr>
          <w:rFonts w:ascii="Arial" w:cs="Arial" w:eastAsia="Arial" w:hAnsi="Arial"/>
          <w:sz w:val="22"/>
          <w:szCs w:val="22"/>
        </w:rPr>
        <w:t xml:space="preserve">Settlement Visa (S-Visa) providing lawful presence and work authorisation; residential land grant on same terms as citizen participants; structured path to permanent residency and citizenship.</w:t>
      </w:r>
    </w:p>
    <w:p>
      <w:pPr>
        <w:spacing w:after="120" w:before="120" w:line="276"/>
      </w:pPr>
      <w:r>
        <w:rPr>
          <w:rFonts w:ascii="Arial" w:cs="Arial" w:eastAsia="Arial" w:hAnsi="Arial"/>
          <w:b/>
          <w:bCs/>
          <w:sz w:val="22"/>
          <w:szCs w:val="22"/>
        </w:rPr>
        <w:t xml:space="preserve">Legal status timeline:</w:t>
      </w:r>
      <w:r>
        <w:rPr>
          <w:rFonts w:ascii="Arial" w:cs="Arial" w:eastAsia="Arial" w:hAnsi="Arial"/>
          <w:sz w:val="22"/>
          <w:szCs w:val="22"/>
        </w:rPr>
        <w:t xml:space="preserve"/>
      </w:r>
    </w:p>
    <w:p>
      <w:pPr>
        <w:spacing w:after="120" w:before="120" w:line="276"/>
      </w:pPr>
      <w:r>
        <w:rPr>
          <w:rFonts w:ascii="Arial" w:cs="Arial" w:eastAsia="Arial" w:hAnsi="Arial"/>
          <w:b/>
          <w:bCs/>
          <w:sz w:val="22"/>
          <w:szCs w:val="22"/>
        </w:rPr>
        <w:t xml:space="preserve">  Year 1: </w:t>
      </w:r>
      <w:r>
        <w:rPr>
          <w:rFonts w:ascii="Arial" w:cs="Arial" w:eastAsia="Arial" w:hAnsi="Arial"/>
          <w:sz w:val="22"/>
          <w:szCs w:val="22"/>
        </w:rPr>
        <w:t xml:space="preserve">Settlement Visa issued. Lawful presence and work authorisation within the territory.</w:t>
      </w:r>
    </w:p>
    <w:p>
      <w:pPr>
        <w:spacing w:after="120" w:before="120" w:line="276"/>
      </w:pPr>
      <w:r>
        <w:rPr>
          <w:rFonts w:ascii="Arial" w:cs="Arial" w:eastAsia="Arial" w:hAnsi="Arial"/>
          <w:b/>
          <w:bCs/>
          <w:sz w:val="22"/>
          <w:szCs w:val="22"/>
        </w:rPr>
        <w:t xml:space="preserve">  Year 3: </w:t>
      </w:r>
      <w:r>
        <w:rPr>
          <w:rFonts w:ascii="Arial" w:cs="Arial" w:eastAsia="Arial" w:hAnsi="Arial"/>
          <w:sz w:val="22"/>
          <w:szCs w:val="22"/>
        </w:rPr>
        <w:t xml:space="preserve">Conditional permanent residency upon demonstration of continuous residency, employment or business activity, basic English proficiency, and clean criminal record.</w:t>
      </w:r>
    </w:p>
    <w:p>
      <w:pPr>
        <w:spacing w:after="120" w:before="120" w:line="276"/>
      </w:pPr>
      <w:r>
        <w:rPr>
          <w:rFonts w:ascii="Arial" w:cs="Arial" w:eastAsia="Arial" w:hAnsi="Arial"/>
          <w:b/>
          <w:bCs/>
          <w:sz w:val="22"/>
          <w:szCs w:val="22"/>
        </w:rPr>
        <w:t xml:space="preserve">  Year 5: </w:t>
      </w:r>
      <w:r>
        <w:rPr>
          <w:rFonts w:ascii="Arial" w:cs="Arial" w:eastAsia="Arial" w:hAnsi="Arial"/>
          <w:sz w:val="22"/>
          <w:szCs w:val="22"/>
        </w:rPr>
        <w:t xml:space="preserve">Full permanent residency with freedom to relocate anywhere in the United States.</w:t>
      </w:r>
    </w:p>
    <w:p>
      <w:pPr>
        <w:spacing w:after="120" w:before="120" w:line="276"/>
      </w:pPr>
      <w:r>
        <w:rPr>
          <w:rFonts w:ascii="Arial" w:cs="Arial" w:eastAsia="Arial" w:hAnsi="Arial"/>
          <w:b/>
          <w:bCs/>
          <w:sz w:val="22"/>
          <w:szCs w:val="22"/>
        </w:rPr>
        <w:t xml:space="preserve">  Year 8: </w:t>
      </w:r>
      <w:r>
        <w:rPr>
          <w:rFonts w:ascii="Arial" w:cs="Arial" w:eastAsia="Arial" w:hAnsi="Arial"/>
          <w:sz w:val="22"/>
          <w:szCs w:val="22"/>
        </w:rPr>
        <w:t xml:space="preserve">Eligibility for US citizenship through standard naturalisation.</w:t>
      </w:r>
    </w:p>
    <w:p>
      <w:pPr>
        <w:spacing w:after="120" w:before="120" w:line="276"/>
      </w:pPr>
      <w:r>
        <w:rPr>
          <w:rFonts w:ascii="Arial" w:cs="Arial" w:eastAsia="Arial" w:hAnsi="Arial"/>
          <w:sz w:val="22"/>
          <w:szCs w:val="22"/>
        </w:rPr>
        <w:t xml:space="preserve">This timeline is comparable to existing legal immigration pathways. Crucially, immigrant participants live and build alongside American citizens from day one — not in a separate programme or a separate place. They attend the same schools, use the same hospitals, sit on the same community councils. Integration is structural, not aspirational.</w:t>
      </w:r>
    </w:p>
    <w:p>
      <w:pPr>
        <w:pStyle w:val="Heading2"/>
        <w:spacing w:after="160" w:before="280"/>
      </w:pPr>
      <w:r>
        <w:rPr>
          <w:rFonts w:ascii="Arial" w:cs="Arial" w:eastAsia="Arial" w:hAnsi="Arial"/>
          <w:b/>
          <w:bCs/>
          <w:color w:val="2E75B6"/>
          <w:sz w:val="26"/>
          <w:szCs w:val="26"/>
        </w:rPr>
        <w:t xml:space="preserve">3.5 The Mixed-Community Principle</w:t>
      </w:r>
    </w:p>
    <w:p>
      <w:pPr>
        <w:pBdr>
          <w:left w:val="single" w:color="2E75B6" w:sz="12" w:space="8"/>
        </w:pBdr>
        <w:spacing w:after="200" w:before="200"/>
        <w:ind w:left="360"/>
      </w:pPr>
      <w:r>
        <w:rPr>
          <w:rFonts w:ascii="Arial" w:cs="Arial" w:eastAsia="Arial" w:hAnsi="Arial"/>
          <w:i/>
          <w:iCs/>
          <w:color w:val="1B3A5C"/>
          <w:sz w:val="22"/>
          <w:szCs w:val="22"/>
        </w:rPr>
        <w:t xml:space="preserve">Nobody gets a separate track. Everyone starts from the same line, on the same land, building the same town. What you came from matters less than what you’re willing to build.</w:t>
      </w:r>
    </w:p>
    <w:p>
      <w:pPr>
        <w:spacing w:after="120" w:before="120" w:line="276"/>
      </w:pPr>
      <w:r>
        <w:rPr>
          <w:rFonts w:ascii="Arial" w:cs="Arial" w:eastAsia="Arial" w:hAnsi="Arial"/>
          <w:sz w:val="22"/>
          <w:szCs w:val="22"/>
        </w:rPr>
        <w:t xml:space="preserve">The NHA does not create immigrant settlements or veteran colonies or millennial communes. It creates towns. The deliberate mixing of participant groups is the single most important design feature of the programme. It produces diverse, resilient communities. It ensures that no participant group is isolated or stigmatised. It mirrors how every successful American community has actually formed — different people arriving for different reasons, united by shared investment in a shared place.</w:t>
      </w:r>
    </w:p>
    <w:p>
      <w:pPr>
        <w:spacing w:after="120" w:before="120" w:line="276"/>
      </w:pPr>
      <w:r>
        <w:rPr>
          <w:rFonts w:ascii="Arial" w:cs="Arial" w:eastAsia="Arial" w:hAnsi="Arial"/>
          <w:sz w:val="22"/>
          <w:szCs w:val="22"/>
        </w:rPr>
        <w:t xml:space="preserve">Target demographic composition for each settlement territory is approximately: 40–50% American families and individuals, 15–20% veterans, 10–15% young professionals and remote workers, 20–30% immigrant participants. These ratios are targets, not quotas, and will be adjusted based on application patterns and community development needs.</w:t>
      </w:r>
    </w:p>
    <w:p>
      <w:pPr>
        <w:pStyle w:val="Heading1"/>
        <w:spacing w:after="200" w:before="360"/>
      </w:pPr>
      <w:r>
        <w:rPr>
          <w:rFonts w:ascii="Arial" w:cs="Arial" w:eastAsia="Arial" w:hAnsi="Arial"/>
          <w:b/>
          <w:bCs/>
          <w:color w:val="1B3A5C"/>
          <w:sz w:val="32"/>
          <w:szCs w:val="32"/>
        </w:rPr>
        <w:t xml:space="preserve">4. Candidate Geographies</w:t>
      </w:r>
    </w:p>
    <w:p>
      <w:pPr>
        <w:spacing w:after="120" w:before="120" w:line="276"/>
      </w:pPr>
      <w:r>
        <w:rPr>
          <w:rFonts w:ascii="Arial" w:cs="Arial" w:eastAsia="Arial" w:hAnsi="Arial"/>
          <w:sz w:val="22"/>
          <w:szCs w:val="22"/>
        </w:rPr>
        <w:t xml:space="preserve">Site selection balances five criteria: availability of federal land, water access, climate viability, proximity to existing infrastructure corridors, and economic development potential. Three candidate regions have been assessed in detail.</w:t>
      </w:r>
    </w:p>
    <w:p>
      <w:pPr>
        <w:pStyle w:val="Heading2"/>
        <w:spacing w:after="160" w:before="280"/>
      </w:pPr>
      <w:r>
        <w:rPr>
          <w:rFonts w:ascii="Arial" w:cs="Arial" w:eastAsia="Arial" w:hAnsi="Arial"/>
          <w:b/>
          <w:bCs/>
          <w:color w:val="2E75B6"/>
          <w:sz w:val="26"/>
          <w:szCs w:val="26"/>
        </w:rPr>
        <w:t xml:space="preserve">4.1 Northern Great Plains (Preferred)</w:t>
      </w:r>
    </w:p>
    <w:p>
      <w:pPr>
        <w:spacing w:after="120" w:before="120" w:line="276"/>
      </w:pPr>
      <w:r>
        <w:rPr>
          <w:rFonts w:ascii="Arial" w:cs="Arial" w:eastAsia="Arial" w:hAnsi="Arial"/>
          <w:b/>
          <w:bCs/>
          <w:sz w:val="22"/>
          <w:szCs w:val="22"/>
        </w:rPr>
        <w:t xml:space="preserve">Location: </w:t>
      </w:r>
      <w:r>
        <w:rPr>
          <w:rFonts w:ascii="Arial" w:cs="Arial" w:eastAsia="Arial" w:hAnsi="Arial"/>
          <w:sz w:val="22"/>
          <w:szCs w:val="22"/>
        </w:rPr>
        <w:t xml:space="preserve">Eastern Montana / Western North Dakota border region</w:t>
      </w:r>
    </w:p>
    <w:p>
      <w:pPr>
        <w:spacing w:after="120" w:before="120" w:line="276"/>
      </w:pPr>
      <w:r>
        <w:rPr>
          <w:rFonts w:ascii="Arial" w:cs="Arial" w:eastAsia="Arial" w:hAnsi="Arial"/>
          <w:b/>
          <w:bCs/>
          <w:sz w:val="22"/>
          <w:szCs w:val="22"/>
        </w:rPr>
        <w:t xml:space="preserve">Federal land available: </w:t>
      </w:r>
      <w:r>
        <w:rPr>
          <w:rFonts w:ascii="Arial" w:cs="Arial" w:eastAsia="Arial" w:hAnsi="Arial"/>
          <w:sz w:val="22"/>
          <w:szCs w:val="22"/>
        </w:rPr>
        <w:t xml:space="preserve">Approximately 4–6 million acres of BLM and surplus federal holdings</w:t>
      </w:r>
    </w:p>
    <w:p>
      <w:pPr>
        <w:spacing w:after="120" w:before="120" w:line="276"/>
      </w:pPr>
      <w:r>
        <w:rPr>
          <w:rFonts w:ascii="Arial" w:cs="Arial" w:eastAsia="Arial" w:hAnsi="Arial"/>
          <w:b/>
          <w:bCs/>
          <w:sz w:val="22"/>
          <w:szCs w:val="22"/>
        </w:rPr>
        <w:t xml:space="preserve">Water: </w:t>
      </w:r>
      <w:r>
        <w:rPr>
          <w:rFonts w:ascii="Arial" w:cs="Arial" w:eastAsia="Arial" w:hAnsi="Arial"/>
          <w:sz w:val="22"/>
          <w:szCs w:val="22"/>
        </w:rPr>
        <w:t xml:space="preserve">Missouri River watershed; adequate annual precipitation (14–18 inches); existing reservoir and irrigation infrastructure</w:t>
      </w:r>
    </w:p>
    <w:p>
      <w:pPr>
        <w:spacing w:after="120" w:before="120" w:line="276"/>
      </w:pPr>
      <w:r>
        <w:rPr>
          <w:rFonts w:ascii="Arial" w:cs="Arial" w:eastAsia="Arial" w:hAnsi="Arial"/>
          <w:b/>
          <w:bCs/>
          <w:sz w:val="22"/>
          <w:szCs w:val="22"/>
        </w:rPr>
        <w:t xml:space="preserve">Climate: </w:t>
      </w:r>
      <w:r>
        <w:rPr>
          <w:rFonts w:ascii="Arial" w:cs="Arial" w:eastAsia="Arial" w:hAnsi="Arial"/>
          <w:sz w:val="22"/>
          <w:szCs w:val="22"/>
        </w:rPr>
        <w:t xml:space="preserve">Continental; harsh winters but viable growing season. Comparable to regions successfully settled by Scandinavian, German, and Eastern European homesteaders in the 19th century.</w:t>
      </w:r>
    </w:p>
    <w:p>
      <w:pPr>
        <w:spacing w:after="120" w:before="120" w:line="276"/>
      </w:pPr>
      <w:r>
        <w:rPr>
          <w:rFonts w:ascii="Arial" w:cs="Arial" w:eastAsia="Arial" w:hAnsi="Arial"/>
          <w:b/>
          <w:bCs/>
          <w:sz w:val="22"/>
          <w:szCs w:val="22"/>
        </w:rPr>
        <w:t xml:space="preserve">Infrastructure corridor: </w:t>
      </w:r>
      <w:r>
        <w:rPr>
          <w:rFonts w:ascii="Arial" w:cs="Arial" w:eastAsia="Arial" w:hAnsi="Arial"/>
          <w:sz w:val="22"/>
          <w:szCs w:val="22"/>
        </w:rPr>
        <w:t xml:space="preserve">Interstate 94, BNSF Railway mainline, existing power grid, and fibre-optic backbone within reach</w:t>
      </w:r>
    </w:p>
    <w:p>
      <w:pPr>
        <w:spacing w:after="120" w:before="120" w:line="276"/>
      </w:pPr>
      <w:r>
        <w:rPr>
          <w:rFonts w:ascii="Arial" w:cs="Arial" w:eastAsia="Arial" w:hAnsi="Arial"/>
          <w:b/>
          <w:bCs/>
          <w:sz w:val="22"/>
          <w:szCs w:val="22"/>
        </w:rPr>
        <w:t xml:space="preserve">Economic anchors: </w:t>
      </w:r>
      <w:r>
        <w:rPr>
          <w:rFonts w:ascii="Arial" w:cs="Arial" w:eastAsia="Arial" w:hAnsi="Arial"/>
          <w:sz w:val="22"/>
          <w:szCs w:val="22"/>
        </w:rPr>
        <w:t xml:space="preserve">Agriculture, wind energy (Class 4–6 resources — among the best in North America), logistics, light manufacturing</w:t>
      </w:r>
    </w:p>
    <w:p>
      <w:pPr>
        <w:spacing w:after="120" w:before="120" w:line="276"/>
      </w:pPr>
      <w:r>
        <w:rPr>
          <w:rFonts w:ascii="Arial" w:cs="Arial" w:eastAsia="Arial" w:hAnsi="Arial"/>
          <w:sz w:val="22"/>
          <w:szCs w:val="22"/>
        </w:rPr>
        <w:t xml:space="preserve">This region is preferred due to its combination of water availability, transport access, outstanding renewable energy potential, and extremely low existing population density (under 2 persons per square mile). The Bakken oil development demonstrated that rapid population growth and economic development is achievable in this geography. The NHA would create a more diversified and sustainable version of that growth.</w:t>
      </w:r>
    </w:p>
    <w:p>
      <w:pPr>
        <w:pStyle w:val="Heading2"/>
        <w:spacing w:after="160" w:before="280"/>
      </w:pPr>
      <w:r>
        <w:rPr>
          <w:rFonts w:ascii="Arial" w:cs="Arial" w:eastAsia="Arial" w:hAnsi="Arial"/>
          <w:b/>
          <w:bCs/>
          <w:color w:val="2E75B6"/>
          <w:sz w:val="26"/>
          <w:szCs w:val="26"/>
        </w:rPr>
        <w:t xml:space="preserve">4.2 Central Nevada</w:t>
      </w:r>
    </w:p>
    <w:p>
      <w:pPr>
        <w:spacing w:after="120" w:before="120" w:line="276"/>
      </w:pPr>
      <w:r>
        <w:rPr>
          <w:rFonts w:ascii="Arial" w:cs="Arial" w:eastAsia="Arial" w:hAnsi="Arial"/>
          <w:b/>
          <w:bCs/>
          <w:sz w:val="22"/>
          <w:szCs w:val="22"/>
        </w:rPr>
        <w:t xml:space="preserve">Location: </w:t>
      </w:r>
      <w:r>
        <w:rPr>
          <w:rFonts w:ascii="Arial" w:cs="Arial" w:eastAsia="Arial" w:hAnsi="Arial"/>
          <w:sz w:val="22"/>
          <w:szCs w:val="22"/>
        </w:rPr>
        <w:t xml:space="preserve">North-central Nevada, east of the Humboldt Range</w:t>
      </w:r>
    </w:p>
    <w:p>
      <w:pPr>
        <w:spacing w:after="120" w:before="120" w:line="276"/>
      </w:pPr>
      <w:r>
        <w:rPr>
          <w:rFonts w:ascii="Arial" w:cs="Arial" w:eastAsia="Arial" w:hAnsi="Arial"/>
          <w:b/>
          <w:bCs/>
          <w:sz w:val="22"/>
          <w:szCs w:val="22"/>
        </w:rPr>
        <w:t xml:space="preserve">Federal land: </w:t>
      </w:r>
      <w:r>
        <w:rPr>
          <w:rFonts w:ascii="Arial" w:cs="Arial" w:eastAsia="Arial" w:hAnsi="Arial"/>
          <w:sz w:val="22"/>
          <w:szCs w:val="22"/>
        </w:rPr>
        <w:t xml:space="preserve">Extensive. Nevada is approximately 80% federally owned.</w:t>
      </w:r>
    </w:p>
    <w:p>
      <w:pPr>
        <w:spacing w:after="120" w:before="120" w:line="276"/>
      </w:pPr>
      <w:r>
        <w:rPr>
          <w:rFonts w:ascii="Arial" w:cs="Arial" w:eastAsia="Arial" w:hAnsi="Arial"/>
          <w:b/>
          <w:bCs/>
          <w:sz w:val="22"/>
          <w:szCs w:val="22"/>
        </w:rPr>
        <w:t xml:space="preserve">Water: </w:t>
      </w:r>
      <w:r>
        <w:rPr>
          <w:rFonts w:ascii="Arial" w:cs="Arial" w:eastAsia="Arial" w:hAnsi="Arial"/>
          <w:sz w:val="22"/>
          <w:szCs w:val="22"/>
        </w:rPr>
        <w:t xml:space="preserve">Significant constraint. Groundwater basins are over-allocated. Would require major investment in desalination or water transfer. This substantially increases cost and risk.</w:t>
      </w:r>
    </w:p>
    <w:p>
      <w:pPr>
        <w:spacing w:after="120" w:before="120" w:line="276"/>
      </w:pPr>
      <w:r>
        <w:rPr>
          <w:rFonts w:ascii="Arial" w:cs="Arial" w:eastAsia="Arial" w:hAnsi="Arial"/>
          <w:sz w:val="22"/>
          <w:szCs w:val="22"/>
        </w:rPr>
        <w:t xml:space="preserve">Recommended as secondary candidate only if water technology makes it viable at acceptable cost.</w:t>
      </w:r>
    </w:p>
    <w:p>
      <w:pPr>
        <w:pStyle w:val="Heading2"/>
        <w:spacing w:after="160" w:before="280"/>
      </w:pPr>
      <w:r>
        <w:rPr>
          <w:rFonts w:ascii="Arial" w:cs="Arial" w:eastAsia="Arial" w:hAnsi="Arial"/>
          <w:b/>
          <w:bCs/>
          <w:color w:val="2E75B6"/>
          <w:sz w:val="26"/>
          <w:szCs w:val="26"/>
        </w:rPr>
        <w:t xml:space="preserve">4.3 Southern Kansas / Northern Oklahoma</w:t>
      </w:r>
    </w:p>
    <w:p>
      <w:pPr>
        <w:spacing w:after="120" w:before="120" w:line="276"/>
      </w:pPr>
      <w:r>
        <w:rPr>
          <w:rFonts w:ascii="Arial" w:cs="Arial" w:eastAsia="Arial" w:hAnsi="Arial"/>
          <w:b/>
          <w:bCs/>
          <w:sz w:val="22"/>
          <w:szCs w:val="22"/>
        </w:rPr>
        <w:t xml:space="preserve">Location: </w:t>
      </w:r>
      <w:r>
        <w:rPr>
          <w:rFonts w:ascii="Arial" w:cs="Arial" w:eastAsia="Arial" w:hAnsi="Arial"/>
          <w:sz w:val="22"/>
          <w:szCs w:val="22"/>
        </w:rPr>
        <w:t xml:space="preserve">Cherokee Outlet region and adjacent lands</w:t>
      </w:r>
    </w:p>
    <w:p>
      <w:pPr>
        <w:spacing w:after="120" w:before="120" w:line="276"/>
      </w:pPr>
      <w:r>
        <w:rPr>
          <w:rFonts w:ascii="Arial" w:cs="Arial" w:eastAsia="Arial" w:hAnsi="Arial"/>
          <w:b/>
          <w:bCs/>
          <w:sz w:val="22"/>
          <w:szCs w:val="22"/>
        </w:rPr>
        <w:t xml:space="preserve">Water: </w:t>
      </w:r>
      <w:r>
        <w:rPr>
          <w:rFonts w:ascii="Arial" w:cs="Arial" w:eastAsia="Arial" w:hAnsi="Arial"/>
          <w:sz w:val="22"/>
          <w:szCs w:val="22"/>
        </w:rPr>
        <w:t xml:space="preserve">Arkansas River watershed; 25–35 inches annual precipitation; strong water profile</w:t>
      </w:r>
    </w:p>
    <w:p>
      <w:pPr>
        <w:spacing w:after="120" w:before="120" w:line="276"/>
      </w:pPr>
      <w:r>
        <w:rPr>
          <w:rFonts w:ascii="Arial" w:cs="Arial" w:eastAsia="Arial" w:hAnsi="Arial"/>
          <w:b/>
          <w:bCs/>
          <w:sz w:val="22"/>
          <w:szCs w:val="22"/>
        </w:rPr>
        <w:t xml:space="preserve">Climate: </w:t>
      </w:r>
      <w:r>
        <w:rPr>
          <w:rFonts w:ascii="Arial" w:cs="Arial" w:eastAsia="Arial" w:hAnsi="Arial"/>
          <w:sz w:val="22"/>
          <w:szCs w:val="22"/>
        </w:rPr>
        <w:t xml:space="preserve">Temperate; long growing season; tornado risk manageable with modern building codes</w:t>
      </w:r>
    </w:p>
    <w:p>
      <w:pPr>
        <w:spacing w:after="120" w:before="120" w:line="276"/>
      </w:pPr>
      <w:r>
        <w:rPr>
          <w:rFonts w:ascii="Arial" w:cs="Arial" w:eastAsia="Arial" w:hAnsi="Arial"/>
          <w:sz w:val="22"/>
          <w:szCs w:val="22"/>
        </w:rPr>
        <w:t xml:space="preserve">Best climate and water of the three candidates but less available federal land. Would require state cooperation through land transfer agreements. The historical resonance with the Oklahoma Land Runs offers powerful narrative potential.</w:t>
      </w:r>
    </w:p>
    <w:p>
      <w:pPr>
        <w:pStyle w:val="Heading1"/>
        <w:spacing w:after="200" w:before="360"/>
      </w:pPr>
      <w:r>
        <w:rPr>
          <w:rFonts w:ascii="Arial" w:cs="Arial" w:eastAsia="Arial" w:hAnsi="Arial"/>
          <w:b/>
          <w:bCs/>
          <w:color w:val="1B3A5C"/>
          <w:sz w:val="32"/>
          <w:szCs w:val="32"/>
        </w:rPr>
        <w:t xml:space="preserve">5. Infrastructure Requirements and Phasing</w:t>
      </w:r>
    </w:p>
    <w:p>
      <w:pPr>
        <w:spacing w:after="120" w:before="120" w:line="276"/>
      </w:pPr>
      <w:r>
        <w:rPr>
          <w:rFonts w:ascii="Arial" w:cs="Arial" w:eastAsia="Arial" w:hAnsi="Arial"/>
          <w:sz w:val="22"/>
          <w:szCs w:val="22"/>
        </w:rPr>
        <w:t xml:space="preserve">The NHA infrastructure programme is designed in three phases over 15 years, with the territory reaching economic self-sufficiency by the end of Phase 2. The programme is explicitly designed to be built, in large part, by its own participants — construction employment is both an infrastructure delivery mechanism and an economic development strategy.</w:t>
      </w:r>
    </w:p>
    <w:p>
      <w:pPr>
        <w:pStyle w:val="Heading2"/>
        <w:spacing w:after="160" w:before="280"/>
      </w:pPr>
      <w:r>
        <w:rPr>
          <w:rFonts w:ascii="Arial" w:cs="Arial" w:eastAsia="Arial" w:hAnsi="Arial"/>
          <w:b/>
          <w:bCs/>
          <w:color w:val="2E75B6"/>
          <w:sz w:val="26"/>
          <w:szCs w:val="26"/>
        </w:rPr>
        <w:t xml:space="preserve">5.1 Phase 1: Foundation (Years 1–3)</w:t>
      </w:r>
    </w:p>
    <w:p>
      <w:pPr>
        <w:spacing w:after="120" w:before="120" w:line="276"/>
      </w:pPr>
      <w:r>
        <w:rPr>
          <w:rFonts w:ascii="Arial" w:cs="Arial" w:eastAsia="Arial" w:hAnsi="Arial"/>
          <w:sz w:val="22"/>
          <w:szCs w:val="22"/>
        </w:rPr>
        <w:t xml:space="preserve">Target population: 50,000–100,000 residents across the first settlement territory.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4680"/>
        <w:gridCol w:w="2340"/>
      </w:tblGrid>
      <w:tr>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Category</w:t>
            </w:r>
          </w:p>
        </w:tc>
        <w:tc>
          <w:tcPr>
            <w:tcW w:type="dxa" w:w="46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Deliverables</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Estimated Cost</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Transportation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Highway connection to Interstate; internal road network (200+ miles); rail spur for freight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$1.5–$2.2B</w:t>
            </w:r>
          </w:p>
        </w:tc>
      </w:tr>
      <w:tr>
        <w:tc>
          <w:tcPr>
            <w:tcW w:type="dxa" w:w="234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Water &amp; Sanitation</w:t>
            </w:r>
          </w:p>
        </w:tc>
        <w:tc>
          <w:tcPr>
            <w:tcW w:type="dxa" w:w="46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Water treatment plant; distribution network; wastewater facility; stormwater management</w:t>
            </w:r>
          </w:p>
        </w:tc>
        <w:tc>
          <w:tcPr>
            <w:tcW w:type="dxa" w:w="234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$1.0–$1.5B</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Power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Grid connection; 300MW wind farm; 100MW solar; battery storage; microgrid backbone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$800M–$1.2B</w:t>
            </w:r>
          </w:p>
        </w:tc>
      </w:tr>
      <w:tr>
        <w:tc>
          <w:tcPr>
            <w:tcW w:type="dxa" w:w="234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Broadband</w:t>
            </w:r>
          </w:p>
        </w:tc>
        <w:tc>
          <w:tcPr>
            <w:tcW w:type="dxa" w:w="46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Fibre-to-premises across entire settlement; 5G network; carrier-neutral data centre</w:t>
            </w:r>
          </w:p>
        </w:tc>
        <w:tc>
          <w:tcPr>
            <w:tcW w:type="dxa" w:w="234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$300–$500M</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Housing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20,000–30,000 units; mixed density; land preparation and utility connections for self-build plots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$3.0–$5.0B</w:t>
            </w:r>
          </w:p>
        </w:tc>
      </w:tr>
      <w:tr>
        <w:tc>
          <w:tcPr>
            <w:tcW w:type="dxa" w:w="234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Public Services</w:t>
            </w:r>
          </w:p>
        </w:tc>
        <w:tc>
          <w:tcPr>
            <w:tcW w:type="dxa" w:w="46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Hospital; 10–15 schools; fire and police; government buildings; community centres</w:t>
            </w:r>
          </w:p>
        </w:tc>
        <w:tc>
          <w:tcPr>
            <w:tcW w:type="dxa" w:w="234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$800M–$1.2B</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Veteran Services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VA clinic; transition support centre; training facilities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$100–$200M</w:t>
            </w:r>
          </w:p>
        </w:tc>
      </w:tr>
      <w:tr>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Phase 1 Total</w:t>
            </w:r>
          </w:p>
        </w:tc>
        <w:tc>
          <w:tcPr>
            <w:tcW w:type="dxa" w:w="46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$7.5–$11.8B</w:t>
            </w:r>
          </w:p>
        </w:tc>
      </w:tr>
    </w:tbl>
    <w:p>
      <w:pPr>
        <w:spacing w:after="60" w:before="60"/>
      </w:pPr>
    </w:p>
    <w:p>
      <w:pPr>
        <w:spacing w:after="120" w:before="120" w:line="276"/>
      </w:pPr>
      <w:r>
        <w:rPr>
          <w:rFonts w:ascii="Arial" w:cs="Arial" w:eastAsia="Arial" w:hAnsi="Arial"/>
          <w:sz w:val="22"/>
          <w:szCs w:val="22"/>
        </w:rPr>
        <w:t xml:space="preserve">Phase 1 construction is estimated to create 40,000–60,000 direct construction jobs, the majority of which can be filled by programme participants. This means the infrastructure programme simultaneously delivers the physical settlement and provides employment for its first residents.</w:t>
      </w:r>
    </w:p>
    <w:p>
      <w:pPr>
        <w:pStyle w:val="Heading2"/>
        <w:spacing w:after="160" w:before="280"/>
      </w:pPr>
      <w:r>
        <w:rPr>
          <w:rFonts w:ascii="Arial" w:cs="Arial" w:eastAsia="Arial" w:hAnsi="Arial"/>
          <w:b/>
          <w:bCs/>
          <w:color w:val="2E75B6"/>
          <w:sz w:val="26"/>
          <w:szCs w:val="26"/>
        </w:rPr>
        <w:t xml:space="preserve">5.2 Phase 2: Growth (Years 4–8)</w:t>
      </w:r>
    </w:p>
    <w:p>
      <w:pPr>
        <w:spacing w:after="120" w:before="120" w:line="276"/>
      </w:pPr>
      <w:r>
        <w:rPr>
          <w:rFonts w:ascii="Arial" w:cs="Arial" w:eastAsia="Arial" w:hAnsi="Arial"/>
          <w:sz w:val="22"/>
          <w:szCs w:val="22"/>
        </w:rPr>
        <w:t xml:space="preserve">Target population: 250,000–400,000. Phase 2 scales infrastructure and develops economic anchors. Estimated additional investment: $12–$20 billion, with an increasing share funded by private investment, territorial tax revenue, and standard federal economic development programmes (SBA, USDA Rural Development, DOE renewable energy grants) rather than direct NHA appropriation.</w:t>
      </w:r>
    </w:p>
    <w:p>
      <w:pPr>
        <w:spacing w:after="120" w:before="120" w:line="276"/>
      </w:pPr>
      <w:r>
        <w:rPr>
          <w:rFonts w:ascii="Arial" w:cs="Arial" w:eastAsia="Arial" w:hAnsi="Arial"/>
          <w:sz w:val="22"/>
          <w:szCs w:val="22"/>
        </w:rPr>
        <w:t xml:space="preserve">Key Phase 2 milestones: opening of a territorial university or community college system; establishment of a Special Economic Zone with tax incentives for employers; first commercial wind and solar energy exports to the regional grid; territorial legislature elected and operational.</w:t>
      </w:r>
    </w:p>
    <w:p>
      <w:pPr>
        <w:pStyle w:val="Heading2"/>
        <w:spacing w:after="160" w:before="280"/>
      </w:pPr>
      <w:r>
        <w:rPr>
          <w:rFonts w:ascii="Arial" w:cs="Arial" w:eastAsia="Arial" w:hAnsi="Arial"/>
          <w:b/>
          <w:bCs/>
          <w:color w:val="2E75B6"/>
          <w:sz w:val="26"/>
          <w:szCs w:val="26"/>
        </w:rPr>
        <w:t xml:space="preserve">5.3 Phase 3: Maturation (Years 9–15)</w:t>
      </w:r>
    </w:p>
    <w:p>
      <w:pPr>
        <w:spacing w:after="120" w:before="120" w:line="276"/>
      </w:pPr>
      <w:r>
        <w:rPr>
          <w:rFonts w:ascii="Arial" w:cs="Arial" w:eastAsia="Arial" w:hAnsi="Arial"/>
          <w:sz w:val="22"/>
          <w:szCs w:val="22"/>
        </w:rPr>
        <w:t xml:space="preserve">Target population: 500,000–1,000,000. The territory achieves a diversified, self-sustaining economy. Infrastructure investment shifts to primarily private-sector driven. Federal support transitions to standard programmes available to all US territories and states. The territory begins formal evaluation of statehood readiness or incorporation into an existing state.</w:t>
      </w:r>
    </w:p>
    <w:p>
      <w:pPr>
        <w:pStyle w:val="Heading2"/>
        <w:spacing w:after="160" w:before="280"/>
      </w:pPr>
      <w:r>
        <w:rPr>
          <w:rFonts w:ascii="Arial" w:cs="Arial" w:eastAsia="Arial" w:hAnsi="Arial"/>
          <w:b/>
          <w:bCs/>
          <w:color w:val="2E75B6"/>
          <w:sz w:val="26"/>
          <w:szCs w:val="26"/>
        </w:rPr>
        <w:t xml:space="preserve">5.4 Design Principles</w:t>
      </w:r>
    </w:p>
    <w:p>
      <w:pPr>
        <w:spacing w:after="120" w:before="120" w:line="276"/>
      </w:pPr>
      <w:r>
        <w:rPr>
          <w:rFonts w:ascii="Arial" w:cs="Arial" w:eastAsia="Arial" w:hAnsi="Arial"/>
          <w:sz w:val="22"/>
          <w:szCs w:val="22"/>
        </w:rPr>
        <w:t xml:space="preserve">All settlement territories will be designed from the outset with principles that most existing American communities are struggling to retrofit:</w:t>
      </w:r>
    </w:p>
    <w:p>
      <w:pPr>
        <w:spacing w:after="120" w:before="120" w:line="276"/>
      </w:pPr>
      <w:r>
        <w:rPr>
          <w:rFonts w:ascii="Arial" w:cs="Arial" w:eastAsia="Arial" w:hAnsi="Arial"/>
          <w:b/>
          <w:bCs/>
          <w:sz w:val="22"/>
          <w:szCs w:val="22"/>
        </w:rPr>
        <w:t xml:space="preserve">Mixed-use zoning: </w:t>
      </w:r>
      <w:r>
        <w:rPr>
          <w:rFonts w:ascii="Arial" w:cs="Arial" w:eastAsia="Arial" w:hAnsi="Arial"/>
          <w:sz w:val="22"/>
          <w:szCs w:val="22"/>
        </w:rPr>
        <w:t xml:space="preserve">Residential, commercial, and light industrial uses integrated rather than separated. Walkable neighbourhoods by default.</w:t>
      </w:r>
    </w:p>
    <w:p>
      <w:pPr>
        <w:spacing w:after="120" w:before="120" w:line="276"/>
      </w:pPr>
      <w:r>
        <w:rPr>
          <w:rFonts w:ascii="Arial" w:cs="Arial" w:eastAsia="Arial" w:hAnsi="Arial"/>
          <w:b/>
          <w:bCs/>
          <w:sz w:val="22"/>
          <w:szCs w:val="22"/>
        </w:rPr>
        <w:t xml:space="preserve">Renewable energy first: </w:t>
      </w:r>
      <w:r>
        <w:rPr>
          <w:rFonts w:ascii="Arial" w:cs="Arial" w:eastAsia="Arial" w:hAnsi="Arial"/>
          <w:sz w:val="22"/>
          <w:szCs w:val="22"/>
        </w:rPr>
        <w:t xml:space="preserve">All power infrastructure is renewable from day one. The territory will never need to transition away from fossil fuels because it will never depend on them.</w:t>
      </w:r>
    </w:p>
    <w:p>
      <w:pPr>
        <w:spacing w:after="120" w:before="120" w:line="276"/>
      </w:pPr>
      <w:r>
        <w:rPr>
          <w:rFonts w:ascii="Arial" w:cs="Arial" w:eastAsia="Arial" w:hAnsi="Arial"/>
          <w:b/>
          <w:bCs/>
          <w:sz w:val="22"/>
          <w:szCs w:val="22"/>
        </w:rPr>
        <w:t xml:space="preserve">Broadband as utility: </w:t>
      </w:r>
      <w:r>
        <w:rPr>
          <w:rFonts w:ascii="Arial" w:cs="Arial" w:eastAsia="Arial" w:hAnsi="Arial"/>
          <w:sz w:val="22"/>
          <w:szCs w:val="22"/>
        </w:rPr>
        <w:t xml:space="preserve">Fibre-optic internet treated as essential infrastructure like water and electricity, not as a private-sector afterthought.</w:t>
      </w:r>
    </w:p>
    <w:p>
      <w:pPr>
        <w:spacing w:after="120" w:before="120" w:line="276"/>
      </w:pPr>
      <w:r>
        <w:rPr>
          <w:rFonts w:ascii="Arial" w:cs="Arial" w:eastAsia="Arial" w:hAnsi="Arial"/>
          <w:b/>
          <w:bCs/>
          <w:sz w:val="22"/>
          <w:szCs w:val="22"/>
        </w:rPr>
        <w:t xml:space="preserve">Climate resilience: </w:t>
      </w:r>
      <w:r>
        <w:rPr>
          <w:rFonts w:ascii="Arial" w:cs="Arial" w:eastAsia="Arial" w:hAnsi="Arial"/>
          <w:sz w:val="22"/>
          <w:szCs w:val="22"/>
        </w:rPr>
        <w:t xml:space="preserve">Building codes, water management, and land use designed for the climate of 2060, not 2026.</w:t>
      </w:r>
    </w:p>
    <w:p>
      <w:pPr>
        <w:spacing w:after="120" w:before="120" w:line="276"/>
      </w:pPr>
      <w:r>
        <w:rPr>
          <w:rFonts w:ascii="Arial" w:cs="Arial" w:eastAsia="Arial" w:hAnsi="Arial"/>
          <w:b/>
          <w:bCs/>
          <w:sz w:val="22"/>
          <w:szCs w:val="22"/>
        </w:rPr>
        <w:t xml:space="preserve">Self-build option: </w:t>
      </w:r>
      <w:r>
        <w:rPr>
          <w:rFonts w:ascii="Arial" w:cs="Arial" w:eastAsia="Arial" w:hAnsi="Arial"/>
          <w:sz w:val="22"/>
          <w:szCs w:val="22"/>
        </w:rPr>
        <w:t xml:space="preserve">Participants may choose serviced plots and build their own homes, reducing housing costs and creating personal investment. Construction training and materials support provided.</w:t>
      </w:r>
    </w:p>
    <w:p>
      <w:pPr>
        <w:pStyle w:val="Heading1"/>
        <w:spacing w:after="200" w:before="360"/>
      </w:pPr>
      <w:r>
        <w:rPr>
          <w:rFonts w:ascii="Arial" w:cs="Arial" w:eastAsia="Arial" w:hAnsi="Arial"/>
          <w:b/>
          <w:bCs/>
          <w:color w:val="1B3A5C"/>
          <w:sz w:val="32"/>
          <w:szCs w:val="32"/>
        </w:rPr>
        <w:t xml:space="preserve">6. Governance Framework</w:t>
      </w:r>
    </w:p>
    <w:p>
      <w:pPr>
        <w:pStyle w:val="Heading2"/>
        <w:spacing w:after="160" w:before="280"/>
      </w:pPr>
      <w:r>
        <w:rPr>
          <w:rFonts w:ascii="Arial" w:cs="Arial" w:eastAsia="Arial" w:hAnsi="Arial"/>
          <w:b/>
          <w:bCs/>
          <w:color w:val="2E75B6"/>
          <w:sz w:val="26"/>
          <w:szCs w:val="26"/>
        </w:rPr>
        <w:t xml:space="preserve">6.1 Territorial Charter</w:t>
      </w:r>
    </w:p>
    <w:p>
      <w:pPr>
        <w:spacing w:after="120" w:before="120" w:line="276"/>
      </w:pPr>
      <w:r>
        <w:rPr>
          <w:rFonts w:ascii="Arial" w:cs="Arial" w:eastAsia="Arial" w:hAnsi="Arial"/>
          <w:sz w:val="22"/>
          <w:szCs w:val="22"/>
        </w:rPr>
        <w:t xml:space="preserve">Each settlement territory is established by Act of Congress with a charter specifying governance structures, civil rights protections, and a defined path toward either statehood or incorporation into an existing state.</w:t>
      </w:r>
    </w:p>
    <w:p>
      <w:pPr>
        <w:spacing w:after="120" w:before="120" w:line="276"/>
      </w:pPr>
      <w:r>
        <w:rPr>
          <w:rFonts w:ascii="Arial" w:cs="Arial" w:eastAsia="Arial" w:hAnsi="Arial"/>
          <w:b/>
          <w:bCs/>
          <w:sz w:val="22"/>
          <w:szCs w:val="22"/>
        </w:rPr>
        <w:t xml:space="preserve">Phase 1 governance: </w:t>
      </w:r>
      <w:r>
        <w:rPr>
          <w:rFonts w:ascii="Arial" w:cs="Arial" w:eastAsia="Arial" w:hAnsi="Arial"/>
          <w:sz w:val="22"/>
          <w:szCs w:val="22"/>
        </w:rPr>
        <w:t xml:space="preserve">Appointed Territorial Governor (nominated by President, confirmed by Senate) and a Federal Oversight Commission comprising representatives from relevant cabinet departments. An elected Community Advisory Council provides resident input from Year 1.</w:t>
      </w:r>
    </w:p>
    <w:p>
      <w:pPr>
        <w:spacing w:after="120" w:before="120" w:line="276"/>
      </w:pPr>
      <w:r>
        <w:rPr>
          <w:rFonts w:ascii="Arial" w:cs="Arial" w:eastAsia="Arial" w:hAnsi="Arial"/>
          <w:b/>
          <w:bCs/>
          <w:sz w:val="22"/>
          <w:szCs w:val="22"/>
        </w:rPr>
        <w:t xml:space="preserve">Phase 2 governance: </w:t>
      </w:r>
      <w:r>
        <w:rPr>
          <w:rFonts w:ascii="Arial" w:cs="Arial" w:eastAsia="Arial" w:hAnsi="Arial"/>
          <w:sz w:val="22"/>
          <w:szCs w:val="22"/>
        </w:rPr>
        <w:t xml:space="preserve">Elected Territorial Legislature (unicameral); elected Governor replacing appointed position; territorial court system established under federal judicial oversight; non-voting delegate to the US House of Representatives.</w:t>
      </w:r>
    </w:p>
    <w:p>
      <w:pPr>
        <w:spacing w:after="120" w:before="120" w:line="276"/>
      </w:pPr>
      <w:r>
        <w:rPr>
          <w:rFonts w:ascii="Arial" w:cs="Arial" w:eastAsia="Arial" w:hAnsi="Arial"/>
          <w:b/>
          <w:bCs/>
          <w:sz w:val="22"/>
          <w:szCs w:val="22"/>
        </w:rPr>
        <w:t xml:space="preserve">Phase 3 and beyond: </w:t>
      </w:r>
      <w:r>
        <w:rPr>
          <w:rFonts w:ascii="Arial" w:cs="Arial" w:eastAsia="Arial" w:hAnsi="Arial"/>
          <w:sz w:val="22"/>
          <w:szCs w:val="22"/>
        </w:rPr>
        <w:t xml:space="preserve">Full territorial self-governance. Congress evaluates statehood application or, alternatively, incorporation into an adjacent state by mutual agreement of the territory and the receiving state.</w:t>
      </w:r>
    </w:p>
    <w:p>
      <w:pPr>
        <w:pStyle w:val="Heading2"/>
        <w:spacing w:after="160" w:before="280"/>
      </w:pPr>
      <w:r>
        <w:rPr>
          <w:rFonts w:ascii="Arial" w:cs="Arial" w:eastAsia="Arial" w:hAnsi="Arial"/>
          <w:b/>
          <w:bCs/>
          <w:color w:val="2E75B6"/>
          <w:sz w:val="26"/>
          <w:szCs w:val="26"/>
        </w:rPr>
        <w:t xml:space="preserve">6.2 Civil Rights and Legal Protections</w:t>
      </w:r>
    </w:p>
    <w:p>
      <w:pPr>
        <w:spacing w:after="120" w:before="120" w:line="276"/>
      </w:pPr>
      <w:r>
        <w:rPr>
          <w:rFonts w:ascii="Arial" w:cs="Arial" w:eastAsia="Arial" w:hAnsi="Arial"/>
          <w:sz w:val="22"/>
          <w:szCs w:val="22"/>
        </w:rPr>
        <w:t xml:space="preserve">The territorial charter guarantees the full protections of the Bill of Rights and federal civil rights law to all residents regardless of their participant category. Federal anti-discrimination law applies. Territorial law enforcement operates under federal oversight during Phases 1 and 2. An independent Inspector General monitors civil rights compliance and reports directly to Congress.</w:t>
      </w:r>
    </w:p>
    <w:p>
      <w:pPr>
        <w:spacing w:after="120" w:before="120" w:line="276"/>
      </w:pPr>
      <w:r>
        <w:rPr>
          <w:rFonts w:ascii="Arial" w:cs="Arial" w:eastAsia="Arial" w:hAnsi="Arial"/>
          <w:sz w:val="22"/>
          <w:szCs w:val="22"/>
        </w:rPr>
        <w:t xml:space="preserve">This framework is critical. The programme’s legitimacy depends on every resident — citizen, veteran, or immigrant — having equal legal protections and equal standing in the community from day one.</w:t>
      </w:r>
    </w:p>
    <w:p>
      <w:pPr>
        <w:pStyle w:val="Heading2"/>
        <w:spacing w:after="160" w:before="280"/>
      </w:pPr>
      <w:r>
        <w:rPr>
          <w:rFonts w:ascii="Arial" w:cs="Arial" w:eastAsia="Arial" w:hAnsi="Arial"/>
          <w:b/>
          <w:bCs/>
          <w:color w:val="2E75B6"/>
          <w:sz w:val="26"/>
          <w:szCs w:val="26"/>
        </w:rPr>
        <w:t xml:space="preserve">6.3 Civic Participation</w:t>
      </w:r>
    </w:p>
    <w:p>
      <w:pPr>
        <w:spacing w:after="120" w:before="120" w:line="276"/>
      </w:pPr>
      <w:r>
        <w:rPr>
          <w:rFonts w:ascii="Arial" w:cs="Arial" w:eastAsia="Arial" w:hAnsi="Arial"/>
          <w:sz w:val="22"/>
          <w:szCs w:val="22"/>
        </w:rPr>
        <w:t xml:space="preserve">All residents participate in local governance from the outset. Immigrant participants on Settlement Visas may vote in territorial and local elections but not in federal elections until they obtain citizenship. This mirrors the historical practice of many US territories, where non-citizen residents participated in local governance while the territory prepared for statehood.</w:t>
      </w:r>
    </w:p>
    <w:p>
      <w:pPr>
        <w:pStyle w:val="Heading1"/>
        <w:spacing w:after="200" w:before="360"/>
      </w:pPr>
      <w:r>
        <w:rPr>
          <w:rFonts w:ascii="Arial" w:cs="Arial" w:eastAsia="Arial" w:hAnsi="Arial"/>
          <w:b/>
          <w:bCs/>
          <w:color w:val="1B3A5C"/>
          <w:sz w:val="32"/>
          <w:szCs w:val="32"/>
        </w:rPr>
        <w:t xml:space="preserve">7. Economic Analysis</w:t>
      </w:r>
    </w:p>
    <w:p>
      <w:pPr>
        <w:pStyle w:val="Heading2"/>
        <w:spacing w:after="160" w:before="280"/>
      </w:pPr>
      <w:r>
        <w:rPr>
          <w:rFonts w:ascii="Arial" w:cs="Arial" w:eastAsia="Arial" w:hAnsi="Arial"/>
          <w:b/>
          <w:bCs/>
          <w:color w:val="2E75B6"/>
          <w:sz w:val="26"/>
          <w:szCs w:val="26"/>
        </w:rPr>
        <w:t xml:space="preserve">7.1 Cost Comparison</w:t>
      </w:r>
    </w:p>
    <w:p>
      <w:pPr>
        <w:spacing w:after="120" w:before="120" w:line="276"/>
      </w:pPr>
      <w:r>
        <w:rPr>
          <w:rFonts w:ascii="Arial" w:cs="Arial" w:eastAsia="Arial" w:hAnsi="Arial"/>
          <w:sz w:val="22"/>
          <w:szCs w:val="22"/>
        </w:rPr>
        <w:t xml:space="preserve">The NHA should be evaluated not against zero spending, but against what the United States is currently spending on the problems it addresses.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Current Spending Area</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Annual Cost</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10-Year Cost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Immigration enforcement (ICE, CBP, courts)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$25–$30B</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$250–$300B</w:t>
            </w:r>
          </w:p>
        </w:tc>
      </w:tr>
      <w:tr>
        <w:tc>
          <w:tcPr>
            <w:tcW w:type="dxa" w:w="46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Mass deportation proposals (estimated)</w:t>
            </w:r>
          </w:p>
        </w:tc>
        <w:tc>
          <w:tcPr>
            <w:tcW w:type="dxa" w:w="234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$10–$30B</w:t>
            </w:r>
          </w:p>
        </w:tc>
        <w:tc>
          <w:tcPr>
            <w:tcW w:type="dxa" w:w="234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$100–$300B</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Federal housing assistance (Section 8, LIHTC, FHA)</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$50–$55B</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$500–$550B</w:t>
            </w:r>
          </w:p>
        </w:tc>
      </w:tr>
      <w:tr>
        <w:tc>
          <w:tcPr>
            <w:tcW w:type="dxa" w:w="46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Veteran homelessness and transition programmes</w:t>
            </w:r>
          </w:p>
        </w:tc>
        <w:tc>
          <w:tcPr>
            <w:tcW w:type="dxa" w:w="234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$2–$3B</w:t>
            </w:r>
          </w:p>
        </w:tc>
        <w:tc>
          <w:tcPr>
            <w:tcW w:type="dxa" w:w="234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$20–$30B</w:t>
            </w:r>
          </w:p>
        </w:tc>
      </w:tr>
      <w:tr>
        <w:tc>
          <w:tcPr>
            <w:tcW w:type="dxa" w:w="46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Combined baseline (conservative)</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$87B+</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$870B+</w:t>
            </w:r>
          </w:p>
        </w:tc>
      </w:tr>
    </w:tbl>
    <w:p>
      <w:pPr>
        <w:spacing w:after="60" w:before="60"/>
      </w:pPr>
    </w:p>
    <w:p>
      <w:pPr>
        <w:spacing w:after="120" w:before="120" w:line="276"/>
      </w:pPr>
      <w:r>
        <w:rPr>
          <w:rFonts w:ascii="Arial" w:cs="Arial" w:eastAsia="Arial" w:hAnsi="Arial"/>
          <w:sz w:val="22"/>
          <w:szCs w:val="22"/>
        </w:rPr>
        <w:t xml:space="preserve">The NHA’s total Phase 1 cost of $7.5–$11.8 billion is less than one year of current combined spending on the problems it addresses. Unlike enforcement and subsidy spending, which produce no lasting economic assets, every dollar of NHA investment creates durable infrastructure, productive land, and an expanding tax base.</w:t>
      </w:r>
    </w:p>
    <w:p>
      <w:pPr>
        <w:pStyle w:val="Heading2"/>
        <w:spacing w:after="160" w:before="280"/>
      </w:pPr>
      <w:r>
        <w:rPr>
          <w:rFonts w:ascii="Arial" w:cs="Arial" w:eastAsia="Arial" w:hAnsi="Arial"/>
          <w:b/>
          <w:bCs/>
          <w:color w:val="2E75B6"/>
          <w:sz w:val="26"/>
          <w:szCs w:val="26"/>
        </w:rPr>
        <w:t xml:space="preserve">7.2 Revenue Projections</w:t>
      </w:r>
    </w:p>
    <w:p>
      <w:pPr>
        <w:spacing w:after="120" w:before="120" w:line="276"/>
      </w:pPr>
      <w:r>
        <w:rPr>
          <w:rFonts w:ascii="Arial" w:cs="Arial" w:eastAsia="Arial" w:hAnsi="Arial"/>
          <w:b/>
          <w:bCs/>
          <w:sz w:val="22"/>
          <w:szCs w:val="22"/>
        </w:rPr>
        <w:t xml:space="preserve">Years 1–3: </w:t>
      </w:r>
      <w:r>
        <w:rPr>
          <w:rFonts w:ascii="Arial" w:cs="Arial" w:eastAsia="Arial" w:hAnsi="Arial"/>
          <w:sz w:val="22"/>
          <w:szCs w:val="22"/>
        </w:rPr>
        <w:t xml:space="preserve">Net federal cost. Territorial tax revenue minimal. Federal investment predominates. However, construction employment generates income tax and stimulates regional economic activity.</w:t>
      </w:r>
    </w:p>
    <w:p>
      <w:pPr>
        <w:spacing w:after="120" w:before="120" w:line="276"/>
      </w:pPr>
      <w:r>
        <w:rPr>
          <w:rFonts w:ascii="Arial" w:cs="Arial" w:eastAsia="Arial" w:hAnsi="Arial"/>
          <w:b/>
          <w:bCs/>
          <w:sz w:val="22"/>
          <w:szCs w:val="22"/>
        </w:rPr>
        <w:t xml:space="preserve">Years 4–8: </w:t>
      </w:r>
      <w:r>
        <w:rPr>
          <w:rFonts w:ascii="Arial" w:cs="Arial" w:eastAsia="Arial" w:hAnsi="Arial"/>
          <w:sz w:val="22"/>
          <w:szCs w:val="22"/>
        </w:rPr>
        <w:t xml:space="preserve">Growing private sector activity. Territorial revenue covers 30–50% of operating costs. Energy exports (wind, solar) generate revenue. Special Economic Zone attracts private employers.</w:t>
      </w:r>
    </w:p>
    <w:p>
      <w:pPr>
        <w:spacing w:after="120" w:before="120" w:line="276"/>
      </w:pPr>
      <w:r>
        <w:rPr>
          <w:rFonts w:ascii="Arial" w:cs="Arial" w:eastAsia="Arial" w:hAnsi="Arial"/>
          <w:b/>
          <w:bCs/>
          <w:sz w:val="22"/>
          <w:szCs w:val="22"/>
        </w:rPr>
        <w:t xml:space="preserve">Years 9–15: </w:t>
      </w:r>
      <w:r>
        <w:rPr>
          <w:rFonts w:ascii="Arial" w:cs="Arial" w:eastAsia="Arial" w:hAnsi="Arial"/>
          <w:sz w:val="22"/>
          <w:szCs w:val="22"/>
        </w:rPr>
        <w:t xml:space="preserve">Territory approaches fiscal self-sufficiency. A population of 500,000–1,000,000 with median household income of $45,000–$60,000 generates $3–$6 billion annually in combined federal, territorial, and local tax revenue.</w:t>
      </w:r>
    </w:p>
    <w:p>
      <w:pPr>
        <w:spacing w:after="120" w:before="120" w:line="276"/>
      </w:pPr>
      <w:r>
        <w:rPr>
          <w:rFonts w:ascii="Arial" w:cs="Arial" w:eastAsia="Arial" w:hAnsi="Arial"/>
          <w:b/>
          <w:bCs/>
          <w:sz w:val="22"/>
          <w:szCs w:val="22"/>
        </w:rPr>
        <w:t xml:space="preserve">Year 15+: </w:t>
      </w:r>
      <w:r>
        <w:rPr>
          <w:rFonts w:ascii="Arial" w:cs="Arial" w:eastAsia="Arial" w:hAnsi="Arial"/>
          <w:sz w:val="22"/>
          <w:szCs w:val="22"/>
        </w:rPr>
        <w:t xml:space="preserve">Net positive federal fiscal impact. Territory contributes more in federal taxes than it receives in federal transfers.</w:t>
      </w:r>
    </w:p>
    <w:p>
      <w:pPr>
        <w:pStyle w:val="Heading2"/>
        <w:spacing w:after="160" w:before="280"/>
      </w:pPr>
      <w:r>
        <w:rPr>
          <w:rFonts w:ascii="Arial" w:cs="Arial" w:eastAsia="Arial" w:hAnsi="Arial"/>
          <w:b/>
          <w:bCs/>
          <w:color w:val="2E75B6"/>
          <w:sz w:val="26"/>
          <w:szCs w:val="26"/>
        </w:rPr>
        <w:t xml:space="preserve">7.3 Economic Development Strategy</w:t>
      </w:r>
    </w:p>
    <w:p>
      <w:pPr>
        <w:spacing w:after="120" w:before="120" w:line="276"/>
      </w:pPr>
      <w:r>
        <w:rPr>
          <w:rFonts w:ascii="Arial" w:cs="Arial" w:eastAsia="Arial" w:hAnsi="Arial"/>
          <w:b/>
          <w:bCs/>
          <w:sz w:val="22"/>
          <w:szCs w:val="22"/>
        </w:rPr>
        <w:t xml:space="preserve">Agriculture and food processing: </w:t>
      </w:r>
      <w:r>
        <w:rPr>
          <w:rFonts w:ascii="Arial" w:cs="Arial" w:eastAsia="Arial" w:hAnsi="Arial"/>
          <w:sz w:val="22"/>
          <w:szCs w:val="22"/>
        </w:rPr>
        <w:t xml:space="preserve">Great Plains location supports wheat, pulse crops, cattle, and increasingly, speciality crops. Vertical integration from farm to processing to distribution.</w:t>
      </w:r>
    </w:p>
    <w:p>
      <w:pPr>
        <w:spacing w:after="120" w:before="120" w:line="276"/>
      </w:pPr>
      <w:r>
        <w:rPr>
          <w:rFonts w:ascii="Arial" w:cs="Arial" w:eastAsia="Arial" w:hAnsi="Arial"/>
          <w:b/>
          <w:bCs/>
          <w:sz w:val="22"/>
          <w:szCs w:val="22"/>
        </w:rPr>
        <w:t xml:space="preserve">Renewable energy: </w:t>
      </w:r>
      <w:r>
        <w:rPr>
          <w:rFonts w:ascii="Arial" w:cs="Arial" w:eastAsia="Arial" w:hAnsi="Arial"/>
          <w:sz w:val="22"/>
          <w:szCs w:val="22"/>
        </w:rPr>
        <w:t xml:space="preserve">Settlement territories in the Northern Great Plains sit on some of the best wind resources in North America. Energy production and export becomes a major territorial revenue source and employer.</w:t>
      </w:r>
    </w:p>
    <w:p>
      <w:pPr>
        <w:spacing w:after="120" w:before="120" w:line="276"/>
      </w:pPr>
      <w:r>
        <w:rPr>
          <w:rFonts w:ascii="Arial" w:cs="Arial" w:eastAsia="Arial" w:hAnsi="Arial"/>
          <w:b/>
          <w:bCs/>
          <w:sz w:val="22"/>
          <w:szCs w:val="22"/>
        </w:rPr>
        <w:t xml:space="preserve">Construction: </w:t>
      </w:r>
      <w:r>
        <w:rPr>
          <w:rFonts w:ascii="Arial" w:cs="Arial" w:eastAsia="Arial" w:hAnsi="Arial"/>
          <w:sz w:val="22"/>
          <w:szCs w:val="22"/>
        </w:rPr>
        <w:t xml:space="preserve">The settlement programme itself generates a decade of construction demand. Participants gain skills transferable to the national economy.</w:t>
      </w:r>
    </w:p>
    <w:p>
      <w:pPr>
        <w:spacing w:after="120" w:before="120" w:line="276"/>
      </w:pPr>
      <w:r>
        <w:rPr>
          <w:rFonts w:ascii="Arial" w:cs="Arial" w:eastAsia="Arial" w:hAnsi="Arial"/>
          <w:b/>
          <w:bCs/>
          <w:sz w:val="22"/>
          <w:szCs w:val="22"/>
        </w:rPr>
        <w:t xml:space="preserve">Logistics and manufacturing: </w:t>
      </w:r>
      <w:r>
        <w:rPr>
          <w:rFonts w:ascii="Arial" w:cs="Arial" w:eastAsia="Arial" w:hAnsi="Arial"/>
          <w:sz w:val="22"/>
          <w:szCs w:val="22"/>
        </w:rPr>
        <w:t xml:space="preserve">Rail and highway access supports distribution and light manufacturing serving Midwest and West Coast markets.</w:t>
      </w:r>
    </w:p>
    <w:p>
      <w:pPr>
        <w:spacing w:after="120" w:before="120" w:line="276"/>
      </w:pPr>
      <w:r>
        <w:rPr>
          <w:rFonts w:ascii="Arial" w:cs="Arial" w:eastAsia="Arial" w:hAnsi="Arial"/>
          <w:b/>
          <w:bCs/>
          <w:sz w:val="22"/>
          <w:szCs w:val="22"/>
        </w:rPr>
        <w:t xml:space="preserve">Technology and remote work: </w:t>
      </w:r>
      <w:r>
        <w:rPr>
          <w:rFonts w:ascii="Arial" w:cs="Arial" w:eastAsia="Arial" w:hAnsi="Arial"/>
          <w:sz w:val="22"/>
          <w:szCs w:val="22"/>
        </w:rPr>
        <w:t xml:space="preserve">Built-in gigabit broadband and low cost of living creates a compelling value proposition for remote workers, startups, and technology companies.</w:t>
      </w:r>
    </w:p>
    <w:p>
      <w:pPr>
        <w:spacing w:after="120" w:before="120" w:line="276"/>
      </w:pPr>
      <w:r>
        <w:rPr>
          <w:rFonts w:ascii="Arial" w:cs="Arial" w:eastAsia="Arial" w:hAnsi="Arial"/>
          <w:b/>
          <w:bCs/>
          <w:sz w:val="22"/>
          <w:szCs w:val="22"/>
        </w:rPr>
        <w:t xml:space="preserve">Education and healthcare: </w:t>
      </w:r>
      <w:r>
        <w:rPr>
          <w:rFonts w:ascii="Arial" w:cs="Arial" w:eastAsia="Arial" w:hAnsi="Arial"/>
          <w:sz w:val="22"/>
          <w:szCs w:val="22"/>
        </w:rPr>
        <w:t xml:space="preserve">Territorial university and medical facilities serve both the settlement and surrounding rural communities, becoming regional economic anchors.</w:t>
      </w:r>
    </w:p>
    <w:p>
      <w:pPr>
        <w:pStyle w:val="Heading1"/>
        <w:spacing w:after="200" w:before="360"/>
      </w:pPr>
      <w:r>
        <w:rPr>
          <w:rFonts w:ascii="Arial" w:cs="Arial" w:eastAsia="Arial" w:hAnsi="Arial"/>
          <w:b/>
          <w:bCs/>
          <w:color w:val="1B3A5C"/>
          <w:sz w:val="32"/>
          <w:szCs w:val="32"/>
        </w:rPr>
        <w:t xml:space="preserve">8. Risk Assessment and Mitigation</w:t>
      </w:r>
    </w:p>
    <w:p>
      <w:pPr>
        <w:pStyle w:val="Heading2"/>
        <w:spacing w:after="160" w:before="280"/>
      </w:pPr>
      <w:r>
        <w:rPr>
          <w:rFonts w:ascii="Arial" w:cs="Arial" w:eastAsia="Arial" w:hAnsi="Arial"/>
          <w:b/>
          <w:bCs/>
          <w:color w:val="2E75B6"/>
          <w:sz w:val="26"/>
          <w:szCs w:val="26"/>
        </w:rPr>
        <w:t xml:space="preserve">8.1 Political Opposition</w:t>
      </w:r>
    </w:p>
    <w:p>
      <w:pPr>
        <w:spacing w:after="120" w:before="120" w:line="276"/>
      </w:pPr>
      <w:r>
        <w:rPr>
          <w:rFonts w:ascii="Arial" w:cs="Arial" w:eastAsia="Arial" w:hAnsi="Arial"/>
          <w:b/>
          <w:bCs/>
          <w:sz w:val="22"/>
          <w:szCs w:val="22"/>
        </w:rPr>
        <w:t xml:space="preserve">Risk: </w:t>
      </w:r>
      <w:r>
        <w:rPr>
          <w:rFonts w:ascii="Arial" w:cs="Arial" w:eastAsia="Arial" w:hAnsi="Arial"/>
          <w:sz w:val="22"/>
          <w:szCs w:val="22"/>
        </w:rPr>
        <w:t xml:space="preserve">Opposition to any programme that provides a pathway for undocumented immigrants, regardless of other features.</w:t>
      </w:r>
    </w:p>
    <w:p>
      <w:pPr>
        <w:spacing w:after="120" w:before="120" w:line="276"/>
      </w:pPr>
      <w:r>
        <w:rPr>
          <w:rFonts w:ascii="Arial" w:cs="Arial" w:eastAsia="Arial" w:hAnsi="Arial"/>
          <w:b/>
          <w:bCs/>
          <w:sz w:val="22"/>
          <w:szCs w:val="22"/>
        </w:rPr>
        <w:t xml:space="preserve">Mitigation: </w:t>
      </w:r>
      <w:r>
        <w:rPr>
          <w:rFonts w:ascii="Arial" w:cs="Arial" w:eastAsia="Arial" w:hAnsi="Arial"/>
          <w:sz w:val="22"/>
          <w:szCs w:val="22"/>
        </w:rPr>
        <w:t xml:space="preserve">The NHA is not an immigration programme. It is a settlement and economic development programme that immigrants can participate in alongside citizens and veterans. The veteran and housing components create constituencies that cross partisan lines. The programme generates jobs, builds infrastructure, and creates new communities in regions that overwhelmingly vote for representatives who prioritise these outcomes.</w:t>
      </w:r>
    </w:p>
    <w:p>
      <w:pPr>
        <w:pStyle w:val="Heading2"/>
        <w:spacing w:after="160" w:before="280"/>
      </w:pPr>
      <w:r>
        <w:rPr>
          <w:rFonts w:ascii="Arial" w:cs="Arial" w:eastAsia="Arial" w:hAnsi="Arial"/>
          <w:b/>
          <w:bCs/>
          <w:color w:val="2E75B6"/>
          <w:sz w:val="26"/>
          <w:szCs w:val="26"/>
        </w:rPr>
        <w:t xml:space="preserve">8.2 Segregation and Isolation</w:t>
      </w:r>
    </w:p>
    <w:p>
      <w:pPr>
        <w:spacing w:after="120" w:before="120" w:line="276"/>
      </w:pPr>
      <w:r>
        <w:rPr>
          <w:rFonts w:ascii="Arial" w:cs="Arial" w:eastAsia="Arial" w:hAnsi="Arial"/>
          <w:b/>
          <w:bCs/>
          <w:sz w:val="22"/>
          <w:szCs w:val="22"/>
        </w:rPr>
        <w:t xml:space="preserve">Risk: </w:t>
      </w:r>
      <w:r>
        <w:rPr>
          <w:rFonts w:ascii="Arial" w:cs="Arial" w:eastAsia="Arial" w:hAnsi="Arial"/>
          <w:sz w:val="22"/>
          <w:szCs w:val="22"/>
        </w:rPr>
        <w:t xml:space="preserve">Critics may argue the programme concentrates vulnerable populations in remote areas.</w:t>
      </w:r>
    </w:p>
    <w:p>
      <w:pPr>
        <w:spacing w:after="120" w:before="120" w:line="276"/>
      </w:pPr>
      <w:r>
        <w:rPr>
          <w:rFonts w:ascii="Arial" w:cs="Arial" w:eastAsia="Arial" w:hAnsi="Arial"/>
          <w:b/>
          <w:bCs/>
          <w:sz w:val="22"/>
          <w:szCs w:val="22"/>
        </w:rPr>
        <w:t xml:space="preserve">Mitigation: </w:t>
      </w:r>
      <w:r>
        <w:rPr>
          <w:rFonts w:ascii="Arial" w:cs="Arial" w:eastAsia="Arial" w:hAnsi="Arial"/>
          <w:sz w:val="22"/>
          <w:szCs w:val="22"/>
        </w:rPr>
        <w:t xml:space="preserve">Participation is voluntary. The mixed-community design ensures no participant group is isolated. Residents gain full freedom of movement after their vesting period. The programme builds a community, not a camp — with schools, hospitals, civic institutions, and economic opportunity from day one.</w:t>
      </w:r>
    </w:p>
    <w:p>
      <w:pPr>
        <w:pStyle w:val="Heading2"/>
        <w:spacing w:after="160" w:before="280"/>
      </w:pPr>
      <w:r>
        <w:rPr>
          <w:rFonts w:ascii="Arial" w:cs="Arial" w:eastAsia="Arial" w:hAnsi="Arial"/>
          <w:b/>
          <w:bCs/>
          <w:color w:val="2E75B6"/>
          <w:sz w:val="26"/>
          <w:szCs w:val="26"/>
        </w:rPr>
        <w:t xml:space="preserve">8.3 Water and Climate</w:t>
      </w:r>
    </w:p>
    <w:p>
      <w:pPr>
        <w:spacing w:after="120" w:before="120" w:line="276"/>
      </w:pPr>
      <w:r>
        <w:rPr>
          <w:rFonts w:ascii="Arial" w:cs="Arial" w:eastAsia="Arial" w:hAnsi="Arial"/>
          <w:b/>
          <w:bCs/>
          <w:sz w:val="22"/>
          <w:szCs w:val="22"/>
        </w:rPr>
        <w:t xml:space="preserve">Risk: </w:t>
      </w:r>
      <w:r>
        <w:rPr>
          <w:rFonts w:ascii="Arial" w:cs="Arial" w:eastAsia="Arial" w:hAnsi="Arial"/>
          <w:sz w:val="22"/>
          <w:szCs w:val="22"/>
        </w:rPr>
        <w:t xml:space="preserve">The preferred Northern Great Plains site has limited precipitation and harsh winters.</w:t>
      </w:r>
    </w:p>
    <w:p>
      <w:pPr>
        <w:spacing w:after="120" w:before="120" w:line="276"/>
      </w:pPr>
      <w:r>
        <w:rPr>
          <w:rFonts w:ascii="Arial" w:cs="Arial" w:eastAsia="Arial" w:hAnsi="Arial"/>
          <w:b/>
          <w:bCs/>
          <w:sz w:val="22"/>
          <w:szCs w:val="22"/>
        </w:rPr>
        <w:t xml:space="preserve">Mitigation: </w:t>
      </w:r>
      <w:r>
        <w:rPr>
          <w:rFonts w:ascii="Arial" w:cs="Arial" w:eastAsia="Arial" w:hAnsi="Arial"/>
          <w:sz w:val="22"/>
          <w:szCs w:val="22"/>
        </w:rPr>
        <w:t xml:space="preserve">Missouri River watershed provides adequate water supply. Climate projections indicate stable or slightly increasing precipitation through 2075. Infrastructure is designed for climate resilience. This region was successfully settled in the 19th century with far less technology; modern construction, heating, and agricultural techniques make it substantially more viable.</w:t>
      </w:r>
    </w:p>
    <w:p>
      <w:pPr>
        <w:pStyle w:val="Heading2"/>
        <w:spacing w:after="160" w:before="280"/>
      </w:pPr>
      <w:r>
        <w:rPr>
          <w:rFonts w:ascii="Arial" w:cs="Arial" w:eastAsia="Arial" w:hAnsi="Arial"/>
          <w:b/>
          <w:bCs/>
          <w:color w:val="2E75B6"/>
          <w:sz w:val="26"/>
          <w:szCs w:val="26"/>
        </w:rPr>
        <w:t xml:space="preserve">8.4 Economic Viability</w:t>
      </w:r>
    </w:p>
    <w:p>
      <w:pPr>
        <w:spacing w:after="120" w:before="120" w:line="276"/>
      </w:pPr>
      <w:r>
        <w:rPr>
          <w:rFonts w:ascii="Arial" w:cs="Arial" w:eastAsia="Arial" w:hAnsi="Arial"/>
          <w:b/>
          <w:bCs/>
          <w:sz w:val="22"/>
          <w:szCs w:val="22"/>
        </w:rPr>
        <w:t xml:space="preserve">Risk: </w:t>
      </w:r>
      <w:r>
        <w:rPr>
          <w:rFonts w:ascii="Arial" w:cs="Arial" w:eastAsia="Arial" w:hAnsi="Arial"/>
          <w:sz w:val="22"/>
          <w:szCs w:val="22"/>
        </w:rPr>
        <w:t xml:space="preserve">The territory fails to develop a self-sustaining economy and becomes permanently dependent on federal transfers.</w:t>
      </w:r>
    </w:p>
    <w:p>
      <w:pPr>
        <w:spacing w:after="120" w:before="120" w:line="276"/>
      </w:pPr>
      <w:r>
        <w:rPr>
          <w:rFonts w:ascii="Arial" w:cs="Arial" w:eastAsia="Arial" w:hAnsi="Arial"/>
          <w:b/>
          <w:bCs/>
          <w:sz w:val="22"/>
          <w:szCs w:val="22"/>
        </w:rPr>
        <w:t xml:space="preserve">Mitigation: </w:t>
      </w:r>
      <w:r>
        <w:rPr>
          <w:rFonts w:ascii="Arial" w:cs="Arial" w:eastAsia="Arial" w:hAnsi="Arial"/>
          <w:sz w:val="22"/>
          <w:szCs w:val="22"/>
        </w:rPr>
        <w:t xml:space="preserve">Phase-gated investment with clear economic milestones. The renewable energy sector alone provides a durable export economy independent of local consumer demand. Federal investment is front-loaded and designed to decline as private sector and territorial revenue grow. Comparable planned developments (from Brasilia to the Bakken boom towns) demonstrate that economic viability is achievable with appropriate investment.</w:t>
      </w:r>
    </w:p>
    <w:p>
      <w:pPr>
        <w:pStyle w:val="Heading2"/>
        <w:spacing w:after="160" w:before="280"/>
      </w:pPr>
      <w:r>
        <w:rPr>
          <w:rFonts w:ascii="Arial" w:cs="Arial" w:eastAsia="Arial" w:hAnsi="Arial"/>
          <w:b/>
          <w:bCs/>
          <w:color w:val="2E75B6"/>
          <w:sz w:val="26"/>
          <w:szCs w:val="26"/>
        </w:rPr>
        <w:t xml:space="preserve">8.5 Security</w:t>
      </w:r>
    </w:p>
    <w:p>
      <w:pPr>
        <w:spacing w:after="120" w:before="120" w:line="276"/>
      </w:pPr>
      <w:r>
        <w:rPr>
          <w:rFonts w:ascii="Arial" w:cs="Arial" w:eastAsia="Arial" w:hAnsi="Arial"/>
          <w:b/>
          <w:bCs/>
          <w:sz w:val="22"/>
          <w:szCs w:val="22"/>
        </w:rPr>
        <w:t xml:space="preserve">Risk: </w:t>
      </w:r>
      <w:r>
        <w:rPr>
          <w:rFonts w:ascii="Arial" w:cs="Arial" w:eastAsia="Arial" w:hAnsi="Arial"/>
          <w:sz w:val="22"/>
          <w:szCs w:val="22"/>
        </w:rPr>
        <w:t xml:space="preserve">Concerns about admitting undocumented individuals to a federal programme.</w:t>
      </w:r>
    </w:p>
    <w:p>
      <w:pPr>
        <w:spacing w:after="120" w:before="120" w:line="276"/>
      </w:pPr>
      <w:r>
        <w:rPr>
          <w:rFonts w:ascii="Arial" w:cs="Arial" w:eastAsia="Arial" w:hAnsi="Arial"/>
          <w:b/>
          <w:bCs/>
          <w:sz w:val="22"/>
          <w:szCs w:val="22"/>
        </w:rPr>
        <w:t xml:space="preserve">Mitigation: </w:t>
      </w:r>
      <w:r>
        <w:rPr>
          <w:rFonts w:ascii="Arial" w:cs="Arial" w:eastAsia="Arial" w:hAnsi="Arial"/>
          <w:sz w:val="22"/>
          <w:szCs w:val="22"/>
        </w:rPr>
        <w:t xml:space="preserve">Background checks and biometric registration required for all immigrant participants. Federal law enforcement presence. The programme actually improves security: individuals currently invisible to authorities are incentivised to register, undergo screening, and enter a monitored legal framework. This is a significant intelligence and security upgrade over the status quo.</w:t>
      </w:r>
    </w:p>
    <w:p>
      <w:pPr>
        <w:pStyle w:val="Heading2"/>
        <w:spacing w:after="160" w:before="280"/>
      </w:pPr>
      <w:r>
        <w:rPr>
          <w:rFonts w:ascii="Arial" w:cs="Arial" w:eastAsia="Arial" w:hAnsi="Arial"/>
          <w:b/>
          <w:bCs/>
          <w:color w:val="2E75B6"/>
          <w:sz w:val="26"/>
          <w:szCs w:val="26"/>
        </w:rPr>
        <w:t xml:space="preserve">8.6 Statehood Politics</w:t>
      </w:r>
    </w:p>
    <w:p>
      <w:pPr>
        <w:spacing w:after="120" w:before="120" w:line="276"/>
      </w:pPr>
      <w:r>
        <w:rPr>
          <w:rFonts w:ascii="Arial" w:cs="Arial" w:eastAsia="Arial" w:hAnsi="Arial"/>
          <w:b/>
          <w:bCs/>
          <w:sz w:val="22"/>
          <w:szCs w:val="22"/>
        </w:rPr>
        <w:t xml:space="preserve">Risk: </w:t>
      </w:r>
      <w:r>
        <w:rPr>
          <w:rFonts w:ascii="Arial" w:cs="Arial" w:eastAsia="Arial" w:hAnsi="Arial"/>
          <w:sz w:val="22"/>
          <w:szCs w:val="22"/>
        </w:rPr>
        <w:t xml:space="preserve">A new territory with eventual statehood potential creates a partisan battleground over two Senate seats.</w:t>
      </w:r>
    </w:p>
    <w:p>
      <w:pPr>
        <w:spacing w:after="120" w:before="120" w:line="276"/>
      </w:pPr>
      <w:r>
        <w:rPr>
          <w:rFonts w:ascii="Arial" w:cs="Arial" w:eastAsia="Arial" w:hAnsi="Arial"/>
          <w:b/>
          <w:bCs/>
          <w:sz w:val="22"/>
          <w:szCs w:val="22"/>
        </w:rPr>
        <w:t xml:space="preserve">Mitigation: </w:t>
      </w:r>
      <w:r>
        <w:rPr>
          <w:rFonts w:ascii="Arial" w:cs="Arial" w:eastAsia="Arial" w:hAnsi="Arial"/>
          <w:sz w:val="22"/>
          <w:szCs w:val="22"/>
        </w:rPr>
        <w:t xml:space="preserve">The territorial charter does not guarantee statehood. Incorporation into an existing state (Montana, North Dakota) is an alternative path that avoids the Senate seat question entirely. The mixed-community demographic design means the territory’s political character is not predetermined.</w:t>
      </w:r>
    </w:p>
    <w:p>
      <w:pPr>
        <w:pStyle w:val="Heading1"/>
        <w:spacing w:after="200" w:before="360"/>
      </w:pPr>
      <w:r>
        <w:rPr>
          <w:rFonts w:ascii="Arial" w:cs="Arial" w:eastAsia="Arial" w:hAnsi="Arial"/>
          <w:b/>
          <w:bCs/>
          <w:color w:val="1B3A5C"/>
          <w:sz w:val="32"/>
          <w:szCs w:val="32"/>
        </w:rPr>
        <w:t xml:space="preserve">9. Implementation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280"/>
        <w:gridCol w:w="3280"/>
      </w:tblGrid>
      <w:tr>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Timeline</w:t>
            </w:r>
          </w:p>
        </w:tc>
        <w:tc>
          <w:tcPr>
            <w:tcW w:type="dxa" w:w="4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Action</w:t>
            </w:r>
          </w:p>
        </w:tc>
        <w:tc>
          <w:tcPr>
            <w:tcW w:type="dxa" w:w="3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Responsible Body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Months 1–6</w:t>
            </w:r>
          </w:p>
        </w:tc>
        <w:tc>
          <w:tcPr>
            <w:tcW w:type="dxa" w:w="4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Joint committee hearings across Homeland Security, Energy &amp; Natural Resources, Veterans’ Affairs, and Housing committees; CRS and GAO commissioned for formal feasibility study</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US Congress (both chambers)</w:t>
            </w:r>
          </w:p>
        </w:tc>
      </w:tr>
      <w:tr>
        <w:tc>
          <w:tcPr>
            <w:tcW w:type="dxa" w:w="18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Months 6–12</w:t>
            </w:r>
          </w:p>
        </w:tc>
        <w:tc>
          <w:tcPr>
            <w:tcW w:type="dxa" w:w="42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Environmental impact assessment; water rights analysis; site survey; state government consultations; tribal authority consultations</w:t>
            </w:r>
          </w:p>
        </w:tc>
        <w:tc>
          <w:tcPr>
            <w:tcW w:type="dxa" w:w="32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Dept. of Interior; EPA; Army Corps of Engineers; state governors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Months 12–18</w:t>
            </w:r>
          </w:p>
        </w:tc>
        <w:tc>
          <w:tcPr>
            <w:tcW w:type="dxa" w:w="4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Draft enabling legislation (New Homestead Act); public comment period; CBO scoring</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Congress; CBO; White House</w:t>
            </w:r>
          </w:p>
        </w:tc>
      </w:tr>
      <w:tr>
        <w:tc>
          <w:tcPr>
            <w:tcW w:type="dxa" w:w="18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Months 18–24</w:t>
            </w:r>
          </w:p>
        </w:tc>
        <w:tc>
          <w:tcPr>
            <w:tcW w:type="dxa" w:w="42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Floor votes and passage; Presidential signature; Territorial Planning Commission established</w:t>
            </w:r>
          </w:p>
        </w:tc>
        <w:tc>
          <w:tcPr>
            <w:tcW w:type="dxa" w:w="32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Congress; President; GSA</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Months 24–30</w:t>
            </w:r>
          </w:p>
        </w:tc>
        <w:tc>
          <w:tcPr>
            <w:tcW w:type="dxa" w:w="4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Federal land designation; infrastructure master plan finalised; procurement initiated; participant application portal opens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BLM; Territorial Planning Commission; USCIS; VA</w:t>
            </w:r>
          </w:p>
        </w:tc>
      </w:tr>
      <w:tr>
        <w:tc>
          <w:tcPr>
            <w:tcW w:type="dxa" w:w="18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Months 30–36</w:t>
            </w:r>
          </w:p>
        </w:tc>
        <w:tc>
          <w:tcPr>
            <w:tcW w:type="dxa" w:w="42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Phase 1 construction begins; first construction employment positions filled by early participants; temporary housing established</w:t>
            </w:r>
          </w:p>
        </w:tc>
        <w:tc>
          <w:tcPr>
            <w:tcW w:type="dxa" w:w="32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Territorial Governor; Army Corps of Engineers; contractors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Year 3</w:t>
            </w:r>
          </w:p>
        </w:tc>
        <w:tc>
          <w:tcPr>
            <w:tcW w:type="dxa" w:w="4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Phase 1 infrastructure substantially complete; permanent settlement population reaches 50,000+; first schools and hospital operational</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Territorial Government; federal agencies</w:t>
            </w:r>
          </w:p>
        </w:tc>
      </w:tr>
      <w:tr>
        <w:tc>
          <w:tcPr>
            <w:tcW w:type="dxa" w:w="18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Year 5</w:t>
            </w:r>
          </w:p>
        </w:tc>
        <w:tc>
          <w:tcPr>
            <w:tcW w:type="dxa" w:w="42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Phase 2 begins; territorial legislature elected; Special Economic Zone designated; first immigrant participants eligible for permanent residency</w:t>
            </w:r>
          </w:p>
        </w:tc>
        <w:tc>
          <w:tcPr>
            <w:tcW w:type="dxa" w:w="32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pPr>
              <w:spacing w:after="40" w:before="40"/>
            </w:pPr>
            <w:r>
              <w:rPr>
                <w:rFonts w:ascii="Arial" w:cs="Arial" w:eastAsia="Arial" w:hAnsi="Arial"/>
                <w:sz w:val="20"/>
                <w:szCs w:val="20"/>
              </w:rPr>
              <w:t xml:space="preserve">Territorial Government; Dept. of Commerce; USCIS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Year 10</w:t>
            </w:r>
          </w:p>
        </w:tc>
        <w:tc>
          <w:tcPr>
            <w:tcW w:type="dxa" w:w="4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Population exceeds 250,000; territory approaches fiscal self-sufficiency; statehood or incorporation evaluation begins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0"/>
                <w:szCs w:val="20"/>
              </w:rPr>
              <w:t xml:space="preserve">Territorial Government; Congress</w:t>
            </w:r>
          </w:p>
        </w:tc>
      </w:tr>
    </w:tbl>
    <w:p>
      <w:pPr>
        <w:spacing w:after="60" w:before="60"/>
      </w:pPr>
    </w:p>
    <w:p>
      <w:pPr>
        <w:pStyle w:val="Heading1"/>
        <w:spacing w:after="200" w:before="360"/>
      </w:pPr>
      <w:r>
        <w:rPr>
          <w:rFonts w:ascii="Arial" w:cs="Arial" w:eastAsia="Arial" w:hAnsi="Arial"/>
          <w:b/>
          <w:bCs/>
          <w:color w:val="1B3A5C"/>
          <w:sz w:val="32"/>
          <w:szCs w:val="32"/>
        </w:rPr>
        <w:t xml:space="preserve">10. Recommendations</w:t>
      </w:r>
    </w:p>
    <w:p>
      <w:pPr>
        <w:spacing w:after="120" w:before="120" w:line="276"/>
      </w:pPr>
      <w:r>
        <w:rPr>
          <w:rFonts w:ascii="Arial" w:cs="Arial" w:eastAsia="Arial" w:hAnsi="Arial"/>
          <w:sz w:val="22"/>
          <w:szCs w:val="22"/>
        </w:rPr>
        <w:t xml:space="preserve">Based on the analysis presented in this report, the following actions are recommended:</w:t>
      </w:r>
    </w:p>
    <w:p>
      <w:pPr>
        <w:spacing w:after="120" w:before="120" w:line="276"/>
      </w:pPr>
      <w:r>
        <w:rPr>
          <w:rFonts w:ascii="Arial" w:cs="Arial" w:eastAsia="Arial" w:hAnsi="Arial"/>
          <w:b/>
          <w:bCs/>
          <w:sz w:val="22"/>
          <w:szCs w:val="22"/>
        </w:rPr>
        <w:t xml:space="preserve">1. Commission a formal joint study. </w:t>
      </w:r>
      <w:r>
        <w:rPr>
          <w:rFonts w:ascii="Arial" w:cs="Arial" w:eastAsia="Arial" w:hAnsi="Arial"/>
          <w:sz w:val="22"/>
          <w:szCs w:val="22"/>
        </w:rPr>
        <w:t xml:space="preserve">Direct the Congressional Research Service, Government Accountability Office, and Congressional Budget Office to conduct a comprehensive feasibility and cost-benefit analysis of the New Homestead Act, with specific assessment of the Northern Great Plains candidate site, water availability, and projected fiscal impact over 20 years.</w:t>
      </w:r>
    </w:p>
    <w:p>
      <w:pPr>
        <w:spacing w:after="120" w:before="120" w:line="276"/>
      </w:pPr>
      <w:r>
        <w:rPr>
          <w:rFonts w:ascii="Arial" w:cs="Arial" w:eastAsia="Arial" w:hAnsi="Arial"/>
          <w:b/>
          <w:bCs/>
          <w:sz w:val="22"/>
          <w:szCs w:val="22"/>
        </w:rPr>
        <w:t xml:space="preserve">2. Establish a bipartisan Joint Select Committee. </w:t>
      </w:r>
      <w:r>
        <w:rPr>
          <w:rFonts w:ascii="Arial" w:cs="Arial" w:eastAsia="Arial" w:hAnsi="Arial"/>
          <w:sz w:val="22"/>
          <w:szCs w:val="22"/>
        </w:rPr>
        <w:t xml:space="preserve">Create a joint committee with members from Homeland Security, Energy &amp; Natural Resources, Veterans’ Affairs, Banking/Housing, and Judiciary committees to oversee the study and develop enabling legislation. Bipartisan structure is essential to the programme’s viability.</w:t>
      </w:r>
    </w:p>
    <w:p>
      <w:pPr>
        <w:spacing w:after="120" w:before="120" w:line="276"/>
      </w:pPr>
      <w:r>
        <w:rPr>
          <w:rFonts w:ascii="Arial" w:cs="Arial" w:eastAsia="Arial" w:hAnsi="Arial"/>
          <w:b/>
          <w:bCs/>
          <w:sz w:val="22"/>
          <w:szCs w:val="22"/>
        </w:rPr>
        <w:t xml:space="preserve">3. Convene stakeholder consultations. </w:t>
      </w:r>
      <w:r>
        <w:rPr>
          <w:rFonts w:ascii="Arial" w:cs="Arial" w:eastAsia="Arial" w:hAnsi="Arial"/>
          <w:sz w:val="22"/>
          <w:szCs w:val="22"/>
        </w:rPr>
        <w:t xml:space="preserve">Hold hearings with state governors of candidate regions, tribal authorities, water resource agencies, veterans’ organisations, housing policy experts, immigrant community representatives, urban planners, and renewable energy developers.</w:t>
      </w:r>
    </w:p>
    <w:p>
      <w:pPr>
        <w:spacing w:after="120" w:before="120" w:line="276"/>
      </w:pPr>
      <w:r>
        <w:rPr>
          <w:rFonts w:ascii="Arial" w:cs="Arial" w:eastAsia="Arial" w:hAnsi="Arial"/>
          <w:b/>
          <w:bCs/>
          <w:sz w:val="22"/>
          <w:szCs w:val="22"/>
        </w:rPr>
        <w:t xml:space="preserve">4. Conduct site assessments. </w:t>
      </w:r>
      <w:r>
        <w:rPr>
          <w:rFonts w:ascii="Arial" w:cs="Arial" w:eastAsia="Arial" w:hAnsi="Arial"/>
          <w:sz w:val="22"/>
          <w:szCs w:val="22"/>
        </w:rPr>
        <w:t xml:space="preserve">Direct the Department of the Interior and Army Corps of Engineers to evaluate water availability, environmental impact, infrastructure costs, and development potential for the three candidate sites identified in this report.</w:t>
      </w:r>
    </w:p>
    <w:p>
      <w:pPr>
        <w:spacing w:after="120" w:before="120" w:line="276"/>
      </w:pPr>
      <w:r>
        <w:rPr>
          <w:rFonts w:ascii="Arial" w:cs="Arial" w:eastAsia="Arial" w:hAnsi="Arial"/>
          <w:b/>
          <w:bCs/>
          <w:sz w:val="22"/>
          <w:szCs w:val="22"/>
        </w:rPr>
        <w:t xml:space="preserve">5. Develop a pilot programme proposal. </w:t>
      </w:r>
      <w:r>
        <w:rPr>
          <w:rFonts w:ascii="Arial" w:cs="Arial" w:eastAsia="Arial" w:hAnsi="Arial"/>
          <w:sz w:val="22"/>
          <w:szCs w:val="22"/>
        </w:rPr>
        <w:t xml:space="preserve">Rather than full-scale implementation, consider a pilot settlement territory of 10,000–20,000 residents to test programme design, governance structures, and economic development strategies before scaling to the full NHA vision.</w:t>
      </w:r>
    </w:p>
    <w:p>
      <w:pPr>
        <w:spacing w:after="120" w:before="120" w:line="276"/>
      </w:pPr>
      <w:r>
        <w:rPr>
          <w:rFonts w:ascii="Arial" w:cs="Arial" w:eastAsia="Arial" w:hAnsi="Arial"/>
          <w:b/>
          <w:bCs/>
          <w:sz w:val="22"/>
          <w:szCs w:val="22"/>
        </w:rPr>
        <w:t xml:space="preserve">6. Engage international expertise. </w:t>
      </w:r>
      <w:r>
        <w:rPr>
          <w:rFonts w:ascii="Arial" w:cs="Arial" w:eastAsia="Arial" w:hAnsi="Arial"/>
          <w:sz w:val="22"/>
          <w:szCs w:val="22"/>
        </w:rPr>
        <w:t xml:space="preserve">Commission a comparative study of international precedents including Israel’s development towns, Brazil’s Brasilia programme, Singapore’s planned community model, and Special Economic Zones globally, to incorporate proven design principles and avoid known failure modes.</w:t>
      </w:r>
    </w:p>
    <w:p>
      <w:pPr>
        <w:spacing w:after="120" w:before="120" w:line="276"/>
      </w:pPr>
      <w:r>
        <w:rPr>
          <w:rFonts w:ascii="Arial" w:cs="Arial" w:eastAsia="Arial" w:hAnsi="Arial"/>
          <w:b/>
          <w:bCs/>
          <w:sz w:val="22"/>
          <w:szCs w:val="22"/>
        </w:rPr>
        <w:t xml:space="preserve">7. Develop public narrative. </w:t>
      </w:r>
      <w:r>
        <w:rPr>
          <w:rFonts w:ascii="Arial" w:cs="Arial" w:eastAsia="Arial" w:hAnsi="Arial"/>
          <w:sz w:val="22"/>
          <w:szCs w:val="22"/>
        </w:rPr>
        <w:t xml:space="preserve">The NHA’s political viability depends on framing. This is not an immigration programme, a housing programme, or a veterans’ programme. It is an American settlement programme — a direct continuation of the tradition that built the country. Public communications should lead with this framing from the outset.</w:t>
      </w:r>
    </w:p>
    <w:p>
      <w:pPr>
        <w:spacing w:after="60" w:before="60"/>
      </w:pPr>
    </w:p>
    <w:p>
      <w:pPr>
        <w:pBdr>
          <w:top w:val="single" w:color="2E75B6" w:sz="6" w:space="8"/>
        </w:pBdr>
        <w:spacing w:after="200" w:before="400"/>
      </w:pPr>
      <w:r>
        <w:rPr>
          <w:rFonts w:ascii="Arial" w:cs="Arial" w:eastAsia="Arial" w:hAnsi="Arial"/>
          <w:i/>
          <w:iCs/>
          <w:color w:val="666666"/>
          <w:sz w:val="20"/>
          <w:szCs w:val="20"/>
        </w:rPr>
        <w:t xml:space="preserve">This report is submitted as a preliminary feasibility assessment to initiate discussion. It does not constitute a formal legislative proposal. All cost estimates are order-of-magnitude projections based on comparable projects and should be refined through the formal study process recommended above.</w:t>
      </w:r>
    </w:p>
    <w:p>
      <w:pPr>
        <w:spacing w:after="60" w:before="60"/>
      </w:pPr>
    </w:p>
    <w:p>
      <w:pPr>
        <w:spacing w:after="120"/>
      </w:pPr>
      <w:r>
        <w:rPr>
          <w:rFonts w:ascii="Arial" w:cs="Arial" w:eastAsia="Arial" w:hAnsi="Arial"/>
          <w:i/>
          <w:iCs/>
          <w:color w:val="1B3A5C"/>
          <w:sz w:val="22"/>
          <w:szCs w:val="22"/>
        </w:rPr>
        <w:t xml:space="preserve">The United States was built by people who showed up with nothing and turned empty land into communities, economies, and eventually states. Veterans of the Civil War homesteaded the Great Plains. Immigrants from every continent built the cities of the Midwest. Young families who couldn’t afford the East Coast went West and made something new.</w:t>
      </w:r>
    </w:p>
    <w:p>
      <w:pPr>
        <w:spacing w:after="120"/>
      </w:pPr>
      <w:r>
        <w:rPr>
          <w:rFonts w:ascii="Arial" w:cs="Arial" w:eastAsia="Arial" w:hAnsi="Arial"/>
          <w:i/>
          <w:iCs/>
          <w:color w:val="1B3A5C"/>
          <w:sz w:val="22"/>
          <w:szCs w:val="22"/>
        </w:rPr>
        <w:t xml:space="preserve">That story isn’t finished. There are millions of Americans and aspiring Americans who would build again, if given the land and the chance.</w:t>
      </w:r>
    </w:p>
    <w:p>
      <w:pPr>
        <w:spacing w:after="200"/>
      </w:pPr>
      <w:r>
        <w:rPr>
          <w:rFonts w:ascii="Arial" w:cs="Arial" w:eastAsia="Arial" w:hAnsi="Arial"/>
          <w:b/>
          <w:bCs/>
          <w:i/>
          <w:iCs/>
          <w:color w:val="1B3A5C"/>
          <w:sz w:val="24"/>
          <w:szCs w:val="24"/>
        </w:rPr>
        <w:t xml:space="preserve">The New Homestead Act gives them the chance.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pPr>
    <w:r>
      <w:rPr>
        <w:rFonts w:ascii="Arial" w:cs="Arial" w:eastAsia="Arial" w:hAnsi="Arial"/>
        <w:i/>
        <w:iCs/>
        <w:color w:val="666666"/>
        <w:sz w:val="18"/>
        <w:szCs w:val="18"/>
      </w:rPr>
      <w:t xml:space="preserve">The New Homestead Act — Feasibility Report</w:t>
    </w:r>
    <w:r>
      <w:ptab w:alignment="right" w:relativeTo="margin" w:leader="none"/>
    </w:r>
    <w:r>
      <w:rPr>
        <w:rFonts w:ascii="Arial" w:cs="Arial" w:eastAsia="Arial" w:hAnsi="Arial"/>
        <w:b/>
        <w:bCs/>
        <w:color w:val="CC0000"/>
        <w:sz w:val="18"/>
        <w:szCs w:val="18"/>
      </w:rPr>
      <w:t xml:space="preserve">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2026-04-01T16:49:46.992Z</dcterms:created>
  <dcterms:modified xsi:type="dcterms:W3CDTF">2026-04-01T16:49:46.993Z</dcterms:modified>
</cp:coreProperties>
</file>

<file path=docProps/custom.xml><?xml version="1.0" encoding="utf-8"?>
<Properties xmlns="http://schemas.openxmlformats.org/officeDocument/2006/custom-properties" xmlns:vt="http://schemas.openxmlformats.org/officeDocument/2006/docPropsVTypes"/>
</file>