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Override ContentType="application/vnd.openxmlformats-officedocument.wordprocessingml.header+xml" PartName="/word/header1.xml"/>
  <Override ContentType="application/vnd.openxmlformats-officedocument.wordprocessingml.footer+xml" PartName="/word/footer1.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after="60" w:before="200"/>
      </w:pPr>
      <w:r>
        <w:rPr>
          <w:rFonts w:ascii="Arial" w:cs="Arial" w:eastAsia="Arial" w:hAnsi="Arial"/>
          <w:b/>
          <w:bCs/>
          <w:color w:val="1B3A5C"/>
          <w:sz w:val="36"/>
          <w:szCs w:val="36"/>
        </w:rPr>
        <w:t xml:space="preserve">The New Homestead Act</w:t>
      </w:r>
    </w:p>
    <w:p>
      <w:pPr>
        <w:spacing w:after="40"/>
      </w:pPr>
      <w:r>
        <w:rPr>
          <w:rFonts w:ascii="Arial" w:cs="Arial" w:eastAsia="Arial" w:hAnsi="Arial"/>
          <w:color w:val="2E75B6"/>
          <w:sz w:val="24"/>
          <w:szCs w:val="24"/>
        </w:rPr>
        <w:t xml:space="preserve">A National Settlement Programme on Federal Land</w:t>
      </w:r>
    </w:p>
    <w:p>
      <w:pPr>
        <w:pBdr>
          <w:bottom w:val="single" w:color="CCCCCC" w:sz="2" w:space="6"/>
        </w:pBdr>
        <w:spacing w:after="160"/>
      </w:pPr>
      <w:r>
        <w:rPr>
          <w:rFonts w:ascii="Arial" w:cs="Arial" w:eastAsia="Arial" w:hAnsi="Arial"/>
          <w:i/>
          <w:iCs/>
          <w:color w:val="666666"/>
          <w:sz w:val="20"/>
          <w:szCs w:val="20"/>
        </w:rPr>
        <w:t xml:space="preserve">For American families, veterans, young workers, and immigrants — building together</w:t>
      </w:r>
    </w:p>
    <w:p>
      <w:pPr>
        <w:pBdr>
          <w:bottom w:val="single" w:color="2E75B6" w:sz="4" w:space="4"/>
        </w:pBdr>
        <w:spacing w:after="100" w:before="280"/>
      </w:pPr>
      <w:r>
        <w:rPr>
          <w:rFonts w:ascii="Arial" w:cs="Arial" w:eastAsia="Arial" w:hAnsi="Arial"/>
          <w:b/>
          <w:bCs/>
          <w:color w:val="1B3A5C"/>
          <w:sz w:val="22"/>
          <w:szCs w:val="22"/>
        </w:rPr>
        <w:t xml:space="preserve">THE PROBLEM</w:t>
      </w:r>
    </w:p>
    <w:p>
      <w:pPr>
        <w:spacing w:after="80" w:before="80" w:line="264"/>
      </w:pPr>
      <w:r>
        <w:rPr>
          <w:rFonts w:ascii="Arial" w:cs="Arial" w:eastAsia="Arial" w:hAnsi="Arial"/>
          <w:sz w:val="20"/>
          <w:szCs w:val="20"/>
        </w:rPr>
        <w:t xml:space="preserve">The United States is simultaneously spending over $87 billion annually on immigration enforcement, housing assistance, and veteran transition programmes while holding 640 million acres of federal land that generates negligible economic return. Meanwhile, 11 million undocumented immigrants remain in legal limbo, homeownership is out of reach for a generation of young Americans, rural communities are depopulating, and 200,000 veterans transition to civilian life each year — many struggling to find housing and purpose.</w:t>
      </w:r>
    </w:p>
    <w:p>
      <w:pPr>
        <w:spacing w:after="80" w:before="80" w:line="264"/>
      </w:pPr>
      <w:r>
        <w:rPr>
          <w:rFonts w:ascii="Arial" w:cs="Arial" w:eastAsia="Arial" w:hAnsi="Arial"/>
          <w:sz w:val="20"/>
          <w:szCs w:val="20"/>
        </w:rPr>
        <w:t xml:space="preserve">These are treated as separate policy problems. They are not. They are a single mismatch: millions of people who need opportunity and millions of acres of idle land.</w:t>
      </w:r>
    </w:p>
    <w:p>
      <w:pPr>
        <w:pBdr>
          <w:bottom w:val="single" w:color="2E75B6" w:sz="4" w:space="4"/>
        </w:pBdr>
        <w:spacing w:after="100" w:before="280"/>
      </w:pPr>
      <w:r>
        <w:rPr>
          <w:rFonts w:ascii="Arial" w:cs="Arial" w:eastAsia="Arial" w:hAnsi="Arial"/>
          <w:b/>
          <w:bCs/>
          <w:color w:val="1B3A5C"/>
          <w:sz w:val="22"/>
          <w:szCs w:val="22"/>
        </w:rPr>
        <w:t xml:space="preserve">THE PROPOSAL</w:t>
      </w:r>
    </w:p>
    <w:p>
      <w:pPr>
        <w:spacing w:after="80" w:before="80" w:line="264"/>
      </w:pPr>
      <w:r>
        <w:rPr>
          <w:rFonts w:ascii="Arial" w:cs="Arial" w:eastAsia="Arial" w:hAnsi="Arial"/>
          <w:sz w:val="20"/>
          <w:szCs w:val="20"/>
        </w:rPr>
        <w:t xml:space="preserve">The New Homestead Act (NHA) designates federal territory for voluntary settlement, open to US citizens, veterans, and undocumented immigrants on equal terms. Participants receive land grants and subsidised infrastructure in exchange for a minimum residency commitment. Immigrant participants receive a Settlement Visa providing lawful status and a structured path to permanent residency and citizenship. Everyone builds the same community, on the same land, under the same rules.</w:t>
      </w:r>
    </w:p>
    <w:p>
      <w:pPr>
        <w:pBdr>
          <w:left w:val="single" w:color="2E75B6" w:sz="14" w:space="8"/>
        </w:pBdr>
        <w:spacing w:after="160" w:before="160"/>
        <w:ind w:left="300"/>
      </w:pPr>
      <w:r>
        <w:rPr>
          <w:rFonts w:ascii="Arial" w:cs="Arial" w:eastAsia="Arial" w:hAnsi="Arial"/>
          <w:i/>
          <w:iCs/>
          <w:color w:val="1B3A5C"/>
          <w:sz w:val="20"/>
          <w:szCs w:val="20"/>
        </w:rPr>
        <w:t xml:space="preserve">This is not an immigration programme. It is an American settlement programme that immigrants can also participate in.</w:t>
      </w:r>
    </w:p>
    <w:p>
      <w:pPr>
        <w:pBdr>
          <w:bottom w:val="single" w:color="2E75B6" w:sz="4" w:space="4"/>
        </w:pBdr>
        <w:spacing w:after="100" w:before="280"/>
      </w:pPr>
      <w:r>
        <w:rPr>
          <w:rFonts w:ascii="Arial" w:cs="Arial" w:eastAsia="Arial" w:hAnsi="Arial"/>
          <w:b/>
          <w:bCs/>
          <w:color w:val="1B3A5C"/>
          <w:sz w:val="22"/>
          <w:szCs w:val="22"/>
        </w:rPr>
        <w:t xml:space="preserve">WHO IT SERVES</w:t>
      </w:r>
    </w:p>
    <w:tbl>
      <w:tblPr>
        <w:tblW w:type="dxa" w:w="9720"/>
        <w:tblBorders>
          <w:top w:val="single" w:color="auto" w:sz="4"/>
          <w:left w:val="single" w:color="auto" w:sz="4"/>
          <w:bottom w:val="single" w:color="auto" w:sz="4"/>
          <w:right w:val="single" w:color="auto" w:sz="4"/>
          <w:insideH w:val="single" w:color="auto" w:sz="4"/>
          <w:insideV w:val="single" w:color="auto" w:sz="4"/>
        </w:tblBorders>
      </w:tblPr>
      <w:tblGrid>
        <w:gridCol w:w="2100"/>
        <w:gridCol w:w="3810"/>
        <w:gridCol w:w="3810"/>
      </w:tblGrid>
      <w:tr>
        <w:tc>
          <w:tcPr>
            <w:tcW w:type="dxa" w:w="2100"/>
            <w:tcBorders>
              <w:top w:val="single" w:color="CCCCCC" w:sz="1"/>
              <w:left w:val="single" w:color="CCCCCC" w:sz="1"/>
              <w:bottom w:val="single" w:color="CCCCCC" w:sz="1"/>
              <w:right w:val="single" w:color="CCCCCC" w:sz="1"/>
            </w:tcBorders>
            <w:shd w:fill="1B3A5C" w:val="clear"/>
            <w:tcMar>
              <w:top w:type="dxa" w:w="60"/>
              <w:left w:type="dxa" w:w="100"/>
              <w:bottom w:type="dxa" w:w="60"/>
              <w:right w:type="dxa" w:w="100"/>
            </w:tcMar>
          </w:tcPr>
          <w:p>
            <w:r>
              <w:rPr>
                <w:rFonts w:ascii="Arial" w:cs="Arial" w:eastAsia="Arial" w:hAnsi="Arial"/>
                <w:b/>
                <w:bCs/>
                <w:color w:val="FFFFFF"/>
                <w:sz w:val="19"/>
                <w:szCs w:val="19"/>
              </w:rPr>
              <w:t xml:space="preserve">Participant</w:t>
            </w:r>
          </w:p>
        </w:tc>
        <w:tc>
          <w:tcPr>
            <w:tcW w:type="dxa" w:w="3810"/>
            <w:tcBorders>
              <w:top w:val="single" w:color="CCCCCC" w:sz="1"/>
              <w:left w:val="single" w:color="CCCCCC" w:sz="1"/>
              <w:bottom w:val="single" w:color="CCCCCC" w:sz="1"/>
              <w:right w:val="single" w:color="CCCCCC" w:sz="1"/>
            </w:tcBorders>
            <w:shd w:fill="1B3A5C" w:val="clear"/>
            <w:tcMar>
              <w:top w:type="dxa" w:w="60"/>
              <w:left w:type="dxa" w:w="100"/>
              <w:bottom w:type="dxa" w:w="60"/>
              <w:right w:type="dxa" w:w="100"/>
            </w:tcMar>
          </w:tcPr>
          <w:p>
            <w:r>
              <w:rPr>
                <w:rFonts w:ascii="Arial" w:cs="Arial" w:eastAsia="Arial" w:hAnsi="Arial"/>
                <w:b/>
                <w:bCs/>
                <w:color w:val="FFFFFF"/>
                <w:sz w:val="19"/>
                <w:szCs w:val="19"/>
              </w:rPr>
              <w:t xml:space="preserve">Incentive</w:t>
            </w:r>
          </w:p>
        </w:tc>
        <w:tc>
          <w:tcPr>
            <w:tcW w:type="dxa" w:w="3810"/>
            <w:tcBorders>
              <w:top w:val="single" w:color="CCCCCC" w:sz="1"/>
              <w:left w:val="single" w:color="CCCCCC" w:sz="1"/>
              <w:bottom w:val="single" w:color="CCCCCC" w:sz="1"/>
              <w:right w:val="single" w:color="CCCCCC" w:sz="1"/>
            </w:tcBorders>
            <w:shd w:fill="1B3A5C" w:val="clear"/>
            <w:tcMar>
              <w:top w:type="dxa" w:w="60"/>
              <w:left w:type="dxa" w:w="100"/>
              <w:bottom w:type="dxa" w:w="60"/>
              <w:right w:type="dxa" w:w="100"/>
            </w:tcMar>
          </w:tcPr>
          <w:p>
            <w:r>
              <w:rPr>
                <w:rFonts w:ascii="Arial" w:cs="Arial" w:eastAsia="Arial" w:hAnsi="Arial"/>
                <w:b/>
                <w:bCs/>
                <w:color w:val="FFFFFF"/>
                <w:sz w:val="19"/>
                <w:szCs w:val="19"/>
              </w:rPr>
              <w:t xml:space="preserve">What They Bring</w:t>
            </w:r>
          </w:p>
        </w:tc>
      </w:tr>
      <w:tr>
        <w:tc>
          <w:tcPr>
            <w:tcW w:type="dxa" w:w="2100"/>
            <w:tcBorders>
              <w:top w:val="single" w:color="CCCCCC" w:sz="1"/>
              <w:left w:val="single" w:color="CCCCCC" w:sz="1"/>
              <w:bottom w:val="single" w:color="CCCCCC" w:sz="1"/>
              <w:right w:val="single" w:color="CCCCCC" w:sz="1"/>
            </w:tcBorders>
            <w:tcMar>
              <w:top w:type="dxa" w:w="60"/>
              <w:left w:type="dxa" w:w="100"/>
              <w:bottom w:type="dxa" w:w="60"/>
              <w:right w:type="dxa" w:w="100"/>
            </w:tcMar>
          </w:tcPr>
          <w:p>
            <w:pPr>
              <w:spacing w:after="20" w:before="20"/>
            </w:pPr>
            <w:r>
              <w:rPr>
                <w:rFonts w:ascii="Arial" w:cs="Arial" w:eastAsia="Arial" w:hAnsi="Arial"/>
                <w:sz w:val="19"/>
                <w:szCs w:val="19"/>
              </w:rPr>
              <w:t xml:space="preserve">American families</w:t>
            </w:r>
          </w:p>
        </w:tc>
        <w:tc>
          <w:tcPr>
            <w:tcW w:type="dxa" w:w="3810"/>
            <w:tcBorders>
              <w:top w:val="single" w:color="CCCCCC" w:sz="1"/>
              <w:left w:val="single" w:color="CCCCCC" w:sz="1"/>
              <w:bottom w:val="single" w:color="CCCCCC" w:sz="1"/>
              <w:right w:val="single" w:color="CCCCCC" w:sz="1"/>
            </w:tcBorders>
            <w:tcMar>
              <w:top w:type="dxa" w:w="60"/>
              <w:left w:type="dxa" w:w="100"/>
              <w:bottom w:type="dxa" w:w="60"/>
              <w:right w:type="dxa" w:w="100"/>
            </w:tcMar>
          </w:tcPr>
          <w:p>
            <w:pPr>
              <w:spacing w:after="20" w:before="20"/>
            </w:pPr>
            <w:r>
              <w:rPr>
                <w:rFonts w:ascii="Arial" w:cs="Arial" w:eastAsia="Arial" w:hAnsi="Arial"/>
                <w:sz w:val="19"/>
                <w:szCs w:val="19"/>
              </w:rPr>
              <w:t xml:space="preserve">Land grant; subsidised construction financing; 5-year property tax holiday; homeownership for those priced out of existing markets</w:t>
            </w:r>
          </w:p>
        </w:tc>
        <w:tc>
          <w:tcPr>
            <w:tcW w:type="dxa" w:w="3810"/>
            <w:tcBorders>
              <w:top w:val="single" w:color="CCCCCC" w:sz="1"/>
              <w:left w:val="single" w:color="CCCCCC" w:sz="1"/>
              <w:bottom w:val="single" w:color="CCCCCC" w:sz="1"/>
              <w:right w:val="single" w:color="CCCCCC" w:sz="1"/>
            </w:tcBorders>
            <w:tcMar>
              <w:top w:type="dxa" w:w="60"/>
              <w:left w:type="dxa" w:w="100"/>
              <w:bottom w:type="dxa" w:w="60"/>
              <w:right w:type="dxa" w:w="100"/>
            </w:tcMar>
          </w:tcPr>
          <w:p>
            <w:pPr>
              <w:spacing w:after="20" w:before="20"/>
            </w:pPr>
            <w:r>
              <w:rPr>
                <w:rFonts w:ascii="Arial" w:cs="Arial" w:eastAsia="Arial" w:hAnsi="Arial"/>
                <w:sz w:val="19"/>
                <w:szCs w:val="19"/>
              </w:rPr>
              <w:t xml:space="preserve">Consumer demand; tax base; community stability; political legitimacy for the programme</w:t>
            </w:r>
          </w:p>
        </w:tc>
      </w:tr>
      <w:tr>
        <w:tc>
          <w:tcPr>
            <w:tcW w:type="dxa" w:w="2100"/>
            <w:tcBorders>
              <w:top w:val="single" w:color="CCCCCC" w:sz="1"/>
              <w:left w:val="single" w:color="CCCCCC" w:sz="1"/>
              <w:bottom w:val="single" w:color="CCCCCC" w:sz="1"/>
              <w:right w:val="single" w:color="CCCCCC" w:sz="1"/>
            </w:tcBorders>
            <w:shd w:fill="EDF2F7" w:val="clear"/>
            <w:tcMar>
              <w:top w:type="dxa" w:w="60"/>
              <w:left w:type="dxa" w:w="100"/>
              <w:bottom w:type="dxa" w:w="60"/>
              <w:right w:type="dxa" w:w="100"/>
            </w:tcMar>
          </w:tcPr>
          <w:p>
            <w:pPr>
              <w:spacing w:after="20" w:before="20"/>
            </w:pPr>
            <w:r>
              <w:rPr>
                <w:rFonts w:ascii="Arial" w:cs="Arial" w:eastAsia="Arial" w:hAnsi="Arial"/>
                <w:sz w:val="19"/>
                <w:szCs w:val="19"/>
              </w:rPr>
              <w:t xml:space="preserve">Veterans</w:t>
            </w:r>
          </w:p>
        </w:tc>
        <w:tc>
          <w:tcPr>
            <w:tcW w:type="dxa" w:w="3810"/>
            <w:tcBorders>
              <w:top w:val="single" w:color="CCCCCC" w:sz="1"/>
              <w:left w:val="single" w:color="CCCCCC" w:sz="1"/>
              <w:bottom w:val="single" w:color="CCCCCC" w:sz="1"/>
              <w:right w:val="single" w:color="CCCCCC" w:sz="1"/>
            </w:tcBorders>
            <w:shd w:fill="EDF2F7" w:val="clear"/>
            <w:tcMar>
              <w:top w:type="dxa" w:w="60"/>
              <w:left w:type="dxa" w:w="100"/>
              <w:bottom w:type="dxa" w:w="60"/>
              <w:right w:type="dxa" w:w="100"/>
            </w:tcMar>
          </w:tcPr>
          <w:p>
            <w:pPr>
              <w:spacing w:after="20" w:before="20"/>
            </w:pPr>
            <w:r>
              <w:rPr>
                <w:rFonts w:ascii="Arial" w:cs="Arial" w:eastAsia="Arial" w:hAnsi="Arial"/>
                <w:sz w:val="19"/>
                <w:szCs w:val="19"/>
              </w:rPr>
              <w:t xml:space="preserve">Enhanced land grant (up to 10 acres); zero-interest loan; priority hiring for governance and security roles; VA benefits transfer</w:t>
            </w:r>
          </w:p>
        </w:tc>
        <w:tc>
          <w:tcPr>
            <w:tcW w:type="dxa" w:w="3810"/>
            <w:tcBorders>
              <w:top w:val="single" w:color="CCCCCC" w:sz="1"/>
              <w:left w:val="single" w:color="CCCCCC" w:sz="1"/>
              <w:bottom w:val="single" w:color="CCCCCC" w:sz="1"/>
              <w:right w:val="single" w:color="CCCCCC" w:sz="1"/>
            </w:tcBorders>
            <w:shd w:fill="EDF2F7" w:val="clear"/>
            <w:tcMar>
              <w:top w:type="dxa" w:w="60"/>
              <w:left w:type="dxa" w:w="100"/>
              <w:bottom w:type="dxa" w:w="60"/>
              <w:right w:type="dxa" w:w="100"/>
            </w:tcMar>
          </w:tcPr>
          <w:p>
            <w:pPr>
              <w:spacing w:after="20" w:before="20"/>
            </w:pPr>
            <w:r>
              <w:rPr>
                <w:rFonts w:ascii="Arial" w:cs="Arial" w:eastAsia="Arial" w:hAnsi="Arial"/>
                <w:sz w:val="19"/>
                <w:szCs w:val="19"/>
              </w:rPr>
              <w:t xml:space="preserve">Leadership; logistics and construction skills; security expertise; institutional credibility</w:t>
            </w:r>
          </w:p>
        </w:tc>
      </w:tr>
      <w:tr>
        <w:tc>
          <w:tcPr>
            <w:tcW w:type="dxa" w:w="2100"/>
            <w:tcBorders>
              <w:top w:val="single" w:color="CCCCCC" w:sz="1"/>
              <w:left w:val="single" w:color="CCCCCC" w:sz="1"/>
              <w:bottom w:val="single" w:color="CCCCCC" w:sz="1"/>
              <w:right w:val="single" w:color="CCCCCC" w:sz="1"/>
            </w:tcBorders>
            <w:tcMar>
              <w:top w:type="dxa" w:w="60"/>
              <w:left w:type="dxa" w:w="100"/>
              <w:bottom w:type="dxa" w:w="60"/>
              <w:right w:type="dxa" w:w="100"/>
            </w:tcMar>
          </w:tcPr>
          <w:p>
            <w:pPr>
              <w:spacing w:after="20" w:before="20"/>
            </w:pPr>
            <w:r>
              <w:rPr>
                <w:rFonts w:ascii="Arial" w:cs="Arial" w:eastAsia="Arial" w:hAnsi="Arial"/>
                <w:sz w:val="19"/>
                <w:szCs w:val="19"/>
              </w:rPr>
              <w:t xml:space="preserve">Young workers / remote professionals</w:t>
            </w:r>
          </w:p>
        </w:tc>
        <w:tc>
          <w:tcPr>
            <w:tcW w:type="dxa" w:w="3810"/>
            <w:tcBorders>
              <w:top w:val="single" w:color="CCCCCC" w:sz="1"/>
              <w:left w:val="single" w:color="CCCCCC" w:sz="1"/>
              <w:bottom w:val="single" w:color="CCCCCC" w:sz="1"/>
              <w:right w:val="single" w:color="CCCCCC" w:sz="1"/>
            </w:tcBorders>
            <w:tcMar>
              <w:top w:type="dxa" w:w="60"/>
              <w:left w:type="dxa" w:w="100"/>
              <w:bottom w:type="dxa" w:w="60"/>
              <w:right w:type="dxa" w:w="100"/>
            </w:tcMar>
          </w:tcPr>
          <w:p>
            <w:pPr>
              <w:spacing w:after="20" w:before="20"/>
            </w:pPr>
            <w:r>
              <w:rPr>
                <w:rFonts w:ascii="Arial" w:cs="Arial" w:eastAsia="Arial" w:hAnsi="Arial"/>
                <w:sz w:val="19"/>
                <w:szCs w:val="19"/>
              </w:rPr>
              <w:t xml:space="preserve">Land grant; gigabit broadband from day one; co-working facilities; student loan forgiveness for public service roles</w:t>
            </w:r>
          </w:p>
        </w:tc>
        <w:tc>
          <w:tcPr>
            <w:tcW w:type="dxa" w:w="3810"/>
            <w:tcBorders>
              <w:top w:val="single" w:color="CCCCCC" w:sz="1"/>
              <w:left w:val="single" w:color="CCCCCC" w:sz="1"/>
              <w:bottom w:val="single" w:color="CCCCCC" w:sz="1"/>
              <w:right w:val="single" w:color="CCCCCC" w:sz="1"/>
            </w:tcBorders>
            <w:tcMar>
              <w:top w:type="dxa" w:w="60"/>
              <w:left w:type="dxa" w:w="100"/>
              <w:bottom w:type="dxa" w:w="60"/>
              <w:right w:type="dxa" w:w="100"/>
            </w:tcMar>
          </w:tcPr>
          <w:p>
            <w:pPr>
              <w:spacing w:after="20" w:before="20"/>
            </w:pPr>
            <w:r>
              <w:rPr>
                <w:rFonts w:ascii="Arial" w:cs="Arial" w:eastAsia="Arial" w:hAnsi="Arial"/>
                <w:sz w:val="19"/>
                <w:szCs w:val="19"/>
              </w:rPr>
              <w:t xml:space="preserve">Economic diversity; technology skills; entrepreneurship; tax revenue from remote salaries</w:t>
            </w:r>
          </w:p>
        </w:tc>
      </w:tr>
      <w:tr>
        <w:tc>
          <w:tcPr>
            <w:tcW w:type="dxa" w:w="2100"/>
            <w:tcBorders>
              <w:top w:val="single" w:color="CCCCCC" w:sz="1"/>
              <w:left w:val="single" w:color="CCCCCC" w:sz="1"/>
              <w:bottom w:val="single" w:color="CCCCCC" w:sz="1"/>
              <w:right w:val="single" w:color="CCCCCC" w:sz="1"/>
            </w:tcBorders>
            <w:shd w:fill="EDF2F7" w:val="clear"/>
            <w:tcMar>
              <w:top w:type="dxa" w:w="60"/>
              <w:left w:type="dxa" w:w="100"/>
              <w:bottom w:type="dxa" w:w="60"/>
              <w:right w:type="dxa" w:w="100"/>
            </w:tcMar>
          </w:tcPr>
          <w:p>
            <w:pPr>
              <w:spacing w:after="20" w:before="20"/>
            </w:pPr>
            <w:r>
              <w:rPr>
                <w:rFonts w:ascii="Arial" w:cs="Arial" w:eastAsia="Arial" w:hAnsi="Arial"/>
                <w:sz w:val="19"/>
                <w:szCs w:val="19"/>
              </w:rPr>
              <w:t xml:space="preserve">Undocumented immigrants</w:t>
            </w:r>
          </w:p>
        </w:tc>
        <w:tc>
          <w:tcPr>
            <w:tcW w:type="dxa" w:w="3810"/>
            <w:tcBorders>
              <w:top w:val="single" w:color="CCCCCC" w:sz="1"/>
              <w:left w:val="single" w:color="CCCCCC" w:sz="1"/>
              <w:bottom w:val="single" w:color="CCCCCC" w:sz="1"/>
              <w:right w:val="single" w:color="CCCCCC" w:sz="1"/>
            </w:tcBorders>
            <w:shd w:fill="EDF2F7" w:val="clear"/>
            <w:tcMar>
              <w:top w:type="dxa" w:w="60"/>
              <w:left w:type="dxa" w:w="100"/>
              <w:bottom w:type="dxa" w:w="60"/>
              <w:right w:type="dxa" w:w="100"/>
            </w:tcMar>
          </w:tcPr>
          <w:p>
            <w:pPr>
              <w:spacing w:after="20" w:before="20"/>
            </w:pPr>
            <w:r>
              <w:rPr>
                <w:rFonts w:ascii="Arial" w:cs="Arial" w:eastAsia="Arial" w:hAnsi="Arial"/>
                <w:sz w:val="19"/>
                <w:szCs w:val="19"/>
              </w:rPr>
              <w:t xml:space="preserve">Settlement Visa (lawful status); same land grant as citizens; path to green card (Year 5) and citizenship (Year 8)</w:t>
            </w:r>
          </w:p>
        </w:tc>
        <w:tc>
          <w:tcPr>
            <w:tcW w:type="dxa" w:w="3810"/>
            <w:tcBorders>
              <w:top w:val="single" w:color="CCCCCC" w:sz="1"/>
              <w:left w:val="single" w:color="CCCCCC" w:sz="1"/>
              <w:bottom w:val="single" w:color="CCCCCC" w:sz="1"/>
              <w:right w:val="single" w:color="CCCCCC" w:sz="1"/>
            </w:tcBorders>
            <w:shd w:fill="EDF2F7" w:val="clear"/>
            <w:tcMar>
              <w:top w:type="dxa" w:w="60"/>
              <w:left w:type="dxa" w:w="100"/>
              <w:bottom w:type="dxa" w:w="60"/>
              <w:right w:type="dxa" w:w="100"/>
            </w:tcMar>
          </w:tcPr>
          <w:p>
            <w:pPr>
              <w:spacing w:after="20" w:before="20"/>
            </w:pPr>
            <w:r>
              <w:rPr>
                <w:rFonts w:ascii="Arial" w:cs="Arial" w:eastAsia="Arial" w:hAnsi="Arial"/>
                <w:sz w:val="19"/>
                <w:szCs w:val="19"/>
              </w:rPr>
              <w:t xml:space="preserve">Labour force; construction skills; entrepreneurial drive; cultural diversity; resolution of enforcement burden</w:t>
            </w:r>
          </w:p>
        </w:tc>
      </w:tr>
    </w:tbl>
    <w:p>
      <w:pPr>
        <w:pBdr>
          <w:bottom w:val="single" w:color="2E75B6" w:sz="4" w:space="4"/>
        </w:pBdr>
        <w:spacing w:after="100" w:before="280"/>
      </w:pPr>
      <w:r>
        <w:rPr>
          <w:rFonts w:ascii="Arial" w:cs="Arial" w:eastAsia="Arial" w:hAnsi="Arial"/>
          <w:b/>
          <w:bCs/>
          <w:color w:val="1B3A5C"/>
          <w:sz w:val="22"/>
          <w:szCs w:val="22"/>
        </w:rPr>
        <w:t xml:space="preserve">WHY IT WORKS</w:t>
      </w:r>
    </w:p>
    <w:p>
      <w:pPr>
        <w:spacing w:after="60" w:before="60" w:line="264"/>
      </w:pPr>
      <w:r>
        <w:rPr>
          <w:rFonts w:ascii="Arial" w:cs="Arial" w:eastAsia="Arial" w:hAnsi="Arial"/>
          <w:b/>
          <w:bCs/>
          <w:sz w:val="20"/>
          <w:szCs w:val="20"/>
        </w:rPr>
        <w:t xml:space="preserve">It’s cheaper than the status quo. </w:t>
      </w:r>
      <w:r>
        <w:rPr>
          <w:rFonts w:ascii="Arial" w:cs="Arial" w:eastAsia="Arial" w:hAnsi="Arial"/>
          <w:sz w:val="20"/>
          <w:szCs w:val="20"/>
        </w:rPr>
        <w:t xml:space="preserve">Phase 1 infrastructure costs $7.5–$11.8 billion — less than one year of current combined spending on immigration enforcement and housing subsidies. Unlike enforcement, every dollar creates a lasting asset.</w:t>
      </w:r>
    </w:p>
    <w:p>
      <w:pPr>
        <w:spacing w:after="60" w:before="60" w:line="264"/>
      </w:pPr>
      <w:r>
        <w:rPr>
          <w:rFonts w:ascii="Arial" w:cs="Arial" w:eastAsia="Arial" w:hAnsi="Arial"/>
          <w:b/>
          <w:bCs/>
          <w:sz w:val="20"/>
          <w:szCs w:val="20"/>
        </w:rPr>
        <w:t xml:space="preserve">It builds a tax base. </w:t>
      </w:r>
      <w:r>
        <w:rPr>
          <w:rFonts w:ascii="Arial" w:cs="Arial" w:eastAsia="Arial" w:hAnsi="Arial"/>
          <w:sz w:val="20"/>
          <w:szCs w:val="20"/>
        </w:rPr>
        <w:t xml:space="preserve">A mature settlement of 500,000–1,000,000 residents generates $3–$6 billion annually in federal, territorial, and local tax revenue. Current enforcement spending generates zero return.</w:t>
      </w:r>
    </w:p>
    <w:p>
      <w:pPr>
        <w:spacing w:after="60" w:before="60" w:line="264"/>
      </w:pPr>
      <w:r>
        <w:rPr>
          <w:rFonts w:ascii="Arial" w:cs="Arial" w:eastAsia="Arial" w:hAnsi="Arial"/>
          <w:b/>
          <w:bCs/>
          <w:sz w:val="20"/>
          <w:szCs w:val="20"/>
        </w:rPr>
        <w:t xml:space="preserve">It’s not without precedent. </w:t>
      </w:r>
      <w:r>
        <w:rPr>
          <w:rFonts w:ascii="Arial" w:cs="Arial" w:eastAsia="Arial" w:hAnsi="Arial"/>
          <w:sz w:val="20"/>
          <w:szCs w:val="20"/>
        </w:rPr>
        <w:t xml:space="preserve">The original Homestead Acts distributed 270 million acres to 1.6 million families. The GI Bill built the middle class. The TVA transformed the South. This combines all three models.</w:t>
      </w:r>
    </w:p>
    <w:p>
      <w:pPr>
        <w:spacing w:after="60" w:before="60" w:line="264"/>
      </w:pPr>
      <w:r>
        <w:rPr>
          <w:rFonts w:ascii="Arial" w:cs="Arial" w:eastAsia="Arial" w:hAnsi="Arial"/>
          <w:b/>
          <w:bCs/>
          <w:sz w:val="20"/>
          <w:szCs w:val="20"/>
        </w:rPr>
        <w:t xml:space="preserve">It improves security. </w:t>
      </w:r>
      <w:r>
        <w:rPr>
          <w:rFonts w:ascii="Arial" w:cs="Arial" w:eastAsia="Arial" w:hAnsi="Arial"/>
          <w:sz w:val="20"/>
          <w:szCs w:val="20"/>
        </w:rPr>
        <w:t xml:space="preserve">Undocumented individuals are incentivised to register, undergo background checks, and enter a monitored legal framework. This is a security upgrade over the current system where 11 million people are invisible to authorities.</w:t>
      </w:r>
    </w:p>
    <w:p>
      <w:pPr>
        <w:spacing w:after="60" w:before="60" w:line="264"/>
      </w:pPr>
      <w:r>
        <w:rPr>
          <w:rFonts w:ascii="Arial" w:cs="Arial" w:eastAsia="Arial" w:hAnsi="Arial"/>
          <w:b/>
          <w:bCs/>
          <w:sz w:val="20"/>
          <w:szCs w:val="20"/>
        </w:rPr>
        <w:t xml:space="preserve">Mixed communities prevent segregation. </w:t>
      </w:r>
      <w:r>
        <w:rPr>
          <w:rFonts w:ascii="Arial" w:cs="Arial" w:eastAsia="Arial" w:hAnsi="Arial"/>
          <w:sz w:val="20"/>
          <w:szCs w:val="20"/>
        </w:rPr>
        <w:t xml:space="preserve">Target composition: 40–50% American families, 15–20% veterans, 10–15% young professionals, 20–30% immigrants. Everyone lives, works, and governs together from day one.</w:t>
      </w:r>
    </w:p>
    <w:p>
      <w:pPr>
        <w:spacing w:after="60" w:before="60" w:line="264"/>
      </w:pPr>
      <w:r>
        <w:rPr>
          <w:rFonts w:ascii="Arial" w:cs="Arial" w:eastAsia="Arial" w:hAnsi="Arial"/>
          <w:b/>
          <w:bCs/>
          <w:sz w:val="20"/>
          <w:szCs w:val="20"/>
        </w:rPr>
        <w:t xml:space="preserve">It crosses partisan lines. </w:t>
      </w:r>
      <w:r>
        <w:rPr>
          <w:rFonts w:ascii="Arial" w:cs="Arial" w:eastAsia="Arial" w:hAnsi="Arial"/>
          <w:sz w:val="20"/>
          <w:szCs w:val="20"/>
        </w:rPr>
        <w:t xml:space="preserve">Veterans, housing, rural economic development, energy independence, and law-and-order framing appeal to conservative constituencies. Immigration reform, affordable housing, and renewable infrastructure appeal to progressive ones. The programme doesn’t ask anyone to abandon their priorities — it serves all of them simultaneously.</w:t>
      </w:r>
    </w:p>
    <w:p>
      <w:pPr>
        <w:pBdr>
          <w:bottom w:val="single" w:color="2E75B6" w:sz="4" w:space="4"/>
        </w:pBdr>
        <w:spacing w:after="100" w:before="280"/>
      </w:pPr>
      <w:r>
        <w:rPr>
          <w:rFonts w:ascii="Arial" w:cs="Arial" w:eastAsia="Arial" w:hAnsi="Arial"/>
          <w:b/>
          <w:bCs/>
          <w:color w:val="1B3A5C"/>
          <w:sz w:val="22"/>
          <w:szCs w:val="22"/>
        </w:rPr>
        <w:t xml:space="preserve">PREFERRED SITE: NORTHERN GREAT PLAINS</w:t>
      </w:r>
    </w:p>
    <w:p>
      <w:pPr>
        <w:spacing w:after="80" w:before="80" w:line="264"/>
      </w:pPr>
      <w:r>
        <w:rPr>
          <w:rFonts w:ascii="Arial" w:cs="Arial" w:eastAsia="Arial" w:hAnsi="Arial"/>
          <w:sz w:val="20"/>
          <w:szCs w:val="20"/>
        </w:rPr>
        <w:t xml:space="preserve">Eastern Montana / Western North Dakota border region. 4–6 million acres of BLM and surplus federal land. Missouri River watershed for water. Interstate 94 and BNSF Railway for transport. Class 4–6 wind resources for renewable energy. Population density under 2 persons per square mile. This region was successfully homesteaded in the 19th century with far inferior technology. Modern infrastructure makes it substantially more viable.</w:t>
      </w:r>
    </w:p>
    <w:p>
      <w:pPr>
        <w:pBdr>
          <w:bottom w:val="single" w:color="2E75B6" w:sz="4" w:space="4"/>
        </w:pBdr>
        <w:spacing w:after="100" w:before="280"/>
      </w:pPr>
      <w:r>
        <w:rPr>
          <w:rFonts w:ascii="Arial" w:cs="Arial" w:eastAsia="Arial" w:hAnsi="Arial"/>
          <w:b/>
          <w:bCs/>
          <w:color w:val="1B3A5C"/>
          <w:sz w:val="22"/>
          <w:szCs w:val="22"/>
        </w:rPr>
        <w:t xml:space="preserve">COST SNAPSHOT</w:t>
      </w:r>
    </w:p>
    <w:tbl>
      <w:tblPr>
        <w:tblW w:type="dxa" w:w="9720"/>
        <w:tblBorders>
          <w:top w:val="single" w:color="auto" w:sz="4"/>
          <w:left w:val="single" w:color="auto" w:sz="4"/>
          <w:bottom w:val="single" w:color="auto" w:sz="4"/>
          <w:right w:val="single" w:color="auto" w:sz="4"/>
          <w:insideH w:val="single" w:color="auto" w:sz="4"/>
          <w:insideV w:val="single" w:color="auto" w:sz="4"/>
        </w:tblBorders>
      </w:tblPr>
      <w:tblGrid>
        <w:gridCol w:w="6480"/>
        <w:gridCol w:w="3240"/>
      </w:tblGrid>
      <w:tr>
        <w:tc>
          <w:tcPr>
            <w:tcW w:type="dxa" w:w="6480"/>
            <w:tcBorders>
              <w:top w:val="single" w:color="CCCCCC" w:sz="1"/>
              <w:left w:val="single" w:color="CCCCCC" w:sz="1"/>
              <w:bottom w:val="single" w:color="CCCCCC" w:sz="1"/>
              <w:right w:val="single" w:color="CCCCCC" w:sz="1"/>
            </w:tcBorders>
            <w:shd w:fill="1B3A5C" w:val="clear"/>
            <w:tcMar>
              <w:top w:type="dxa" w:w="60"/>
              <w:left w:type="dxa" w:w="100"/>
              <w:bottom w:type="dxa" w:w="60"/>
              <w:right w:type="dxa" w:w="100"/>
            </w:tcMar>
          </w:tcPr>
          <w:p>
            <w:r>
              <w:rPr>
                <w:rFonts w:ascii="Arial" w:cs="Arial" w:eastAsia="Arial" w:hAnsi="Arial"/>
                <w:b/>
                <w:bCs/>
                <w:color w:val="FFFFFF"/>
                <w:sz w:val="19"/>
                <w:szCs w:val="19"/>
              </w:rPr>
              <w:t xml:space="preserve">Item</w:t>
            </w:r>
          </w:p>
        </w:tc>
        <w:tc>
          <w:tcPr>
            <w:tcW w:type="dxa" w:w="3240"/>
            <w:tcBorders>
              <w:top w:val="single" w:color="CCCCCC" w:sz="1"/>
              <w:left w:val="single" w:color="CCCCCC" w:sz="1"/>
              <w:bottom w:val="single" w:color="CCCCCC" w:sz="1"/>
              <w:right w:val="single" w:color="CCCCCC" w:sz="1"/>
            </w:tcBorders>
            <w:shd w:fill="1B3A5C" w:val="clear"/>
            <w:tcMar>
              <w:top w:type="dxa" w:w="60"/>
              <w:left w:type="dxa" w:w="100"/>
              <w:bottom w:type="dxa" w:w="60"/>
              <w:right w:type="dxa" w:w="100"/>
            </w:tcMar>
          </w:tcPr>
          <w:p>
            <w:r>
              <w:rPr>
                <w:rFonts w:ascii="Arial" w:cs="Arial" w:eastAsia="Arial" w:hAnsi="Arial"/>
                <w:b/>
                <w:bCs/>
                <w:color w:val="FFFFFF"/>
                <w:sz w:val="19"/>
                <w:szCs w:val="19"/>
              </w:rPr>
              <w:t xml:space="preserve">Estimate</w:t>
            </w:r>
          </w:p>
        </w:tc>
      </w:tr>
      <w:tr>
        <w:tc>
          <w:tcPr>
            <w:tcW w:type="dxa" w:w="6480"/>
            <w:tcBorders>
              <w:top w:val="single" w:color="CCCCCC" w:sz="1"/>
              <w:left w:val="single" w:color="CCCCCC" w:sz="1"/>
              <w:bottom w:val="single" w:color="CCCCCC" w:sz="1"/>
              <w:right w:val="single" w:color="CCCCCC" w:sz="1"/>
            </w:tcBorders>
            <w:tcMar>
              <w:top w:type="dxa" w:w="60"/>
              <w:left w:type="dxa" w:w="100"/>
              <w:bottom w:type="dxa" w:w="60"/>
              <w:right w:type="dxa" w:w="100"/>
            </w:tcMar>
          </w:tcPr>
          <w:p>
            <w:pPr>
              <w:spacing w:after="20" w:before="20"/>
            </w:pPr>
            <w:r>
              <w:rPr>
                <w:rFonts w:ascii="Arial" w:cs="Arial" w:eastAsia="Arial" w:hAnsi="Arial"/>
                <w:sz w:val="19"/>
                <w:szCs w:val="19"/>
              </w:rPr>
              <w:t xml:space="preserve">NHA Phase 1 (Years 1–3): roads, water, power, broadband, housing, public services</w:t>
            </w:r>
          </w:p>
        </w:tc>
        <w:tc>
          <w:tcPr>
            <w:tcW w:type="dxa" w:w="3240"/>
            <w:tcBorders>
              <w:top w:val="single" w:color="CCCCCC" w:sz="1"/>
              <w:left w:val="single" w:color="CCCCCC" w:sz="1"/>
              <w:bottom w:val="single" w:color="CCCCCC" w:sz="1"/>
              <w:right w:val="single" w:color="CCCCCC" w:sz="1"/>
            </w:tcBorders>
            <w:tcMar>
              <w:top w:type="dxa" w:w="60"/>
              <w:left w:type="dxa" w:w="100"/>
              <w:bottom w:type="dxa" w:w="60"/>
              <w:right w:type="dxa" w:w="100"/>
            </w:tcMar>
          </w:tcPr>
          <w:p>
            <w:pPr>
              <w:spacing w:after="20" w:before="20"/>
            </w:pPr>
            <w:r>
              <w:rPr>
                <w:rFonts w:ascii="Arial" w:cs="Arial" w:eastAsia="Arial" w:hAnsi="Arial"/>
                <w:sz w:val="19"/>
                <w:szCs w:val="19"/>
              </w:rPr>
              <w:t xml:space="preserve">$7.5–$11.8B</w:t>
            </w:r>
          </w:p>
        </w:tc>
      </w:tr>
      <w:tr>
        <w:tc>
          <w:tcPr>
            <w:tcW w:type="dxa" w:w="6480"/>
            <w:tcBorders>
              <w:top w:val="single" w:color="CCCCCC" w:sz="1"/>
              <w:left w:val="single" w:color="CCCCCC" w:sz="1"/>
              <w:bottom w:val="single" w:color="CCCCCC" w:sz="1"/>
              <w:right w:val="single" w:color="CCCCCC" w:sz="1"/>
            </w:tcBorders>
            <w:shd w:fill="EDF2F7" w:val="clear"/>
            <w:tcMar>
              <w:top w:type="dxa" w:w="60"/>
              <w:left w:type="dxa" w:w="100"/>
              <w:bottom w:type="dxa" w:w="60"/>
              <w:right w:type="dxa" w:w="100"/>
            </w:tcMar>
          </w:tcPr>
          <w:p>
            <w:pPr>
              <w:spacing w:after="20" w:before="20"/>
            </w:pPr>
            <w:r>
              <w:rPr>
                <w:rFonts w:ascii="Arial" w:cs="Arial" w:eastAsia="Arial" w:hAnsi="Arial"/>
                <w:sz w:val="19"/>
                <w:szCs w:val="19"/>
              </w:rPr>
              <w:t xml:space="preserve">Current annual immigration enforcement spending</w:t>
            </w:r>
          </w:p>
        </w:tc>
        <w:tc>
          <w:tcPr>
            <w:tcW w:type="dxa" w:w="3240"/>
            <w:tcBorders>
              <w:top w:val="single" w:color="CCCCCC" w:sz="1"/>
              <w:left w:val="single" w:color="CCCCCC" w:sz="1"/>
              <w:bottom w:val="single" w:color="CCCCCC" w:sz="1"/>
              <w:right w:val="single" w:color="CCCCCC" w:sz="1"/>
            </w:tcBorders>
            <w:shd w:fill="EDF2F7" w:val="clear"/>
            <w:tcMar>
              <w:top w:type="dxa" w:w="60"/>
              <w:left w:type="dxa" w:w="100"/>
              <w:bottom w:type="dxa" w:w="60"/>
              <w:right w:type="dxa" w:w="100"/>
            </w:tcMar>
          </w:tcPr>
          <w:p>
            <w:pPr>
              <w:spacing w:after="20" w:before="20"/>
            </w:pPr>
            <w:r>
              <w:rPr>
                <w:rFonts w:ascii="Arial" w:cs="Arial" w:eastAsia="Arial" w:hAnsi="Arial"/>
                <w:sz w:val="19"/>
                <w:szCs w:val="19"/>
              </w:rPr>
              <w:t xml:space="preserve">$25–$30B/yr</w:t>
            </w:r>
          </w:p>
        </w:tc>
      </w:tr>
      <w:tr>
        <w:tc>
          <w:tcPr>
            <w:tcW w:type="dxa" w:w="6480"/>
            <w:tcBorders>
              <w:top w:val="single" w:color="CCCCCC" w:sz="1"/>
              <w:left w:val="single" w:color="CCCCCC" w:sz="1"/>
              <w:bottom w:val="single" w:color="CCCCCC" w:sz="1"/>
              <w:right w:val="single" w:color="CCCCCC" w:sz="1"/>
            </w:tcBorders>
            <w:tcMar>
              <w:top w:type="dxa" w:w="60"/>
              <w:left w:type="dxa" w:w="100"/>
              <w:bottom w:type="dxa" w:w="60"/>
              <w:right w:type="dxa" w:w="100"/>
            </w:tcMar>
          </w:tcPr>
          <w:p>
            <w:pPr>
              <w:spacing w:after="20" w:before="20"/>
            </w:pPr>
            <w:r>
              <w:rPr>
                <w:rFonts w:ascii="Arial" w:cs="Arial" w:eastAsia="Arial" w:hAnsi="Arial"/>
                <w:sz w:val="19"/>
                <w:szCs w:val="19"/>
              </w:rPr>
              <w:t xml:space="preserve">Current annual federal housing assistance</w:t>
            </w:r>
          </w:p>
        </w:tc>
        <w:tc>
          <w:tcPr>
            <w:tcW w:type="dxa" w:w="3240"/>
            <w:tcBorders>
              <w:top w:val="single" w:color="CCCCCC" w:sz="1"/>
              <w:left w:val="single" w:color="CCCCCC" w:sz="1"/>
              <w:bottom w:val="single" w:color="CCCCCC" w:sz="1"/>
              <w:right w:val="single" w:color="CCCCCC" w:sz="1"/>
            </w:tcBorders>
            <w:tcMar>
              <w:top w:type="dxa" w:w="60"/>
              <w:left w:type="dxa" w:w="100"/>
              <w:bottom w:type="dxa" w:w="60"/>
              <w:right w:type="dxa" w:w="100"/>
            </w:tcMar>
          </w:tcPr>
          <w:p>
            <w:pPr>
              <w:spacing w:after="20" w:before="20"/>
            </w:pPr>
            <w:r>
              <w:rPr>
                <w:rFonts w:ascii="Arial" w:cs="Arial" w:eastAsia="Arial" w:hAnsi="Arial"/>
                <w:sz w:val="19"/>
                <w:szCs w:val="19"/>
              </w:rPr>
              <w:t xml:space="preserve">$50–$55B/yr</w:t>
            </w:r>
          </w:p>
        </w:tc>
      </w:tr>
      <w:tr>
        <w:tc>
          <w:tcPr>
            <w:tcW w:type="dxa" w:w="6480"/>
            <w:tcBorders>
              <w:top w:val="single" w:color="CCCCCC" w:sz="1"/>
              <w:left w:val="single" w:color="CCCCCC" w:sz="1"/>
              <w:bottom w:val="single" w:color="CCCCCC" w:sz="1"/>
              <w:right w:val="single" w:color="CCCCCC" w:sz="1"/>
            </w:tcBorders>
            <w:shd w:fill="EDF2F7" w:val="clear"/>
            <w:tcMar>
              <w:top w:type="dxa" w:w="60"/>
              <w:left w:type="dxa" w:w="100"/>
              <w:bottom w:type="dxa" w:w="60"/>
              <w:right w:type="dxa" w:w="100"/>
            </w:tcMar>
          </w:tcPr>
          <w:p>
            <w:pPr>
              <w:spacing w:after="20" w:before="20"/>
            </w:pPr>
            <w:r>
              <w:rPr>
                <w:rFonts w:ascii="Arial" w:cs="Arial" w:eastAsia="Arial" w:hAnsi="Arial"/>
                <w:sz w:val="19"/>
                <w:szCs w:val="19"/>
              </w:rPr>
              <w:t xml:space="preserve">Proposed mass deportation (10-year estimate)</w:t>
            </w:r>
          </w:p>
        </w:tc>
        <w:tc>
          <w:tcPr>
            <w:tcW w:type="dxa" w:w="3240"/>
            <w:tcBorders>
              <w:top w:val="single" w:color="CCCCCC" w:sz="1"/>
              <w:left w:val="single" w:color="CCCCCC" w:sz="1"/>
              <w:bottom w:val="single" w:color="CCCCCC" w:sz="1"/>
              <w:right w:val="single" w:color="CCCCCC" w:sz="1"/>
            </w:tcBorders>
            <w:shd w:fill="EDF2F7" w:val="clear"/>
            <w:tcMar>
              <w:top w:type="dxa" w:w="60"/>
              <w:left w:type="dxa" w:w="100"/>
              <w:bottom w:type="dxa" w:w="60"/>
              <w:right w:type="dxa" w:w="100"/>
            </w:tcMar>
          </w:tcPr>
          <w:p>
            <w:pPr>
              <w:spacing w:after="20" w:before="20"/>
            </w:pPr>
            <w:r>
              <w:rPr>
                <w:rFonts w:ascii="Arial" w:cs="Arial" w:eastAsia="Arial" w:hAnsi="Arial"/>
                <w:sz w:val="19"/>
                <w:szCs w:val="19"/>
              </w:rPr>
              <w:t xml:space="preserve">$100–$300B</w:t>
            </w:r>
          </w:p>
        </w:tc>
      </w:tr>
      <w:tr>
        <w:tc>
          <w:tcPr>
            <w:tcW w:type="dxa" w:w="6480"/>
            <w:tcBorders>
              <w:top w:val="single" w:color="CCCCCC" w:sz="1"/>
              <w:left w:val="single" w:color="CCCCCC" w:sz="1"/>
              <w:bottom w:val="single" w:color="CCCCCC" w:sz="1"/>
              <w:right w:val="single" w:color="CCCCCC" w:sz="1"/>
            </w:tcBorders>
            <w:tcMar>
              <w:top w:type="dxa" w:w="60"/>
              <w:left w:type="dxa" w:w="100"/>
              <w:bottom w:type="dxa" w:w="60"/>
              <w:right w:type="dxa" w:w="100"/>
            </w:tcMar>
          </w:tcPr>
          <w:p>
            <w:pPr>
              <w:spacing w:after="20" w:before="20"/>
            </w:pPr>
            <w:r>
              <w:rPr>
                <w:rFonts w:ascii="Arial" w:cs="Arial" w:eastAsia="Arial" w:hAnsi="Arial"/>
                <w:sz w:val="19"/>
                <w:szCs w:val="19"/>
              </w:rPr>
              <w:t xml:space="preserve">NHA projected annual tax revenue at maturity (Year 15+)</w:t>
            </w:r>
          </w:p>
        </w:tc>
        <w:tc>
          <w:tcPr>
            <w:tcW w:type="dxa" w:w="3240"/>
            <w:tcBorders>
              <w:top w:val="single" w:color="CCCCCC" w:sz="1"/>
              <w:left w:val="single" w:color="CCCCCC" w:sz="1"/>
              <w:bottom w:val="single" w:color="CCCCCC" w:sz="1"/>
              <w:right w:val="single" w:color="CCCCCC" w:sz="1"/>
            </w:tcBorders>
            <w:tcMar>
              <w:top w:type="dxa" w:w="60"/>
              <w:left w:type="dxa" w:w="100"/>
              <w:bottom w:type="dxa" w:w="60"/>
              <w:right w:type="dxa" w:w="100"/>
            </w:tcMar>
          </w:tcPr>
          <w:p>
            <w:pPr>
              <w:spacing w:after="20" w:before="20"/>
            </w:pPr>
            <w:r>
              <w:rPr>
                <w:rFonts w:ascii="Arial" w:cs="Arial" w:eastAsia="Arial" w:hAnsi="Arial"/>
                <w:sz w:val="19"/>
                <w:szCs w:val="19"/>
              </w:rPr>
              <w:t xml:space="preserve">$3–$6B/yr</w:t>
            </w:r>
          </w:p>
        </w:tc>
      </w:tr>
    </w:tbl>
    <w:p>
      <w:pPr>
        <w:pBdr>
          <w:bottom w:val="single" w:color="2E75B6" w:sz="4" w:space="4"/>
        </w:pBdr>
        <w:spacing w:after="100" w:before="280"/>
      </w:pPr>
      <w:r>
        <w:rPr>
          <w:rFonts w:ascii="Arial" w:cs="Arial" w:eastAsia="Arial" w:hAnsi="Arial"/>
          <w:b/>
          <w:bCs/>
          <w:color w:val="1B3A5C"/>
          <w:sz w:val="22"/>
          <w:szCs w:val="22"/>
        </w:rPr>
        <w:t xml:space="preserve">RECOMMENDED NEXT STEPS</w:t>
      </w:r>
    </w:p>
    <w:p>
      <w:pPr>
        <w:spacing w:after="60" w:before="60" w:line="264"/>
      </w:pPr>
      <w:r>
        <w:rPr>
          <w:rFonts w:ascii="Arial" w:cs="Arial" w:eastAsia="Arial" w:hAnsi="Arial"/>
          <w:b/>
          <w:bCs/>
          <w:sz w:val="20"/>
          <w:szCs w:val="20"/>
        </w:rPr>
        <w:t xml:space="preserve">1. </w:t>
      </w:r>
      <w:r>
        <w:rPr>
          <w:rFonts w:ascii="Arial" w:cs="Arial" w:eastAsia="Arial" w:hAnsi="Arial"/>
          <w:sz w:val="20"/>
          <w:szCs w:val="20"/>
        </w:rPr>
        <w:t xml:space="preserve">Commission CRS/GAO/CBO joint feasibility and cost-benefit study focused on the Northern Great Plains site.</w:t>
      </w:r>
    </w:p>
    <w:p>
      <w:pPr>
        <w:spacing w:after="60" w:before="60" w:line="264"/>
      </w:pPr>
      <w:r>
        <w:rPr>
          <w:rFonts w:ascii="Arial" w:cs="Arial" w:eastAsia="Arial" w:hAnsi="Arial"/>
          <w:b/>
          <w:bCs/>
          <w:sz w:val="20"/>
          <w:szCs w:val="20"/>
        </w:rPr>
        <w:t xml:space="preserve">2. </w:t>
      </w:r>
      <w:r>
        <w:rPr>
          <w:rFonts w:ascii="Arial" w:cs="Arial" w:eastAsia="Arial" w:hAnsi="Arial"/>
          <w:sz w:val="20"/>
          <w:szCs w:val="20"/>
        </w:rPr>
        <w:t xml:space="preserve">Establish bipartisan Joint Select Committee spanning Homeland Security, Energy, Veterans’ Affairs, and Housing committees.</w:t>
      </w:r>
    </w:p>
    <w:p>
      <w:pPr>
        <w:spacing w:after="60" w:before="60" w:line="264"/>
      </w:pPr>
      <w:r>
        <w:rPr>
          <w:rFonts w:ascii="Arial" w:cs="Arial" w:eastAsia="Arial" w:hAnsi="Arial"/>
          <w:b/>
          <w:bCs/>
          <w:sz w:val="20"/>
          <w:szCs w:val="20"/>
        </w:rPr>
        <w:t xml:space="preserve">3. </w:t>
      </w:r>
      <w:r>
        <w:rPr>
          <w:rFonts w:ascii="Arial" w:cs="Arial" w:eastAsia="Arial" w:hAnsi="Arial"/>
          <w:sz w:val="20"/>
          <w:szCs w:val="20"/>
        </w:rPr>
        <w:t xml:space="preserve">Direct Dept. of Interior and Army Corps of Engineers to conduct site and water assessments.</w:t>
      </w:r>
    </w:p>
    <w:p>
      <w:pPr>
        <w:spacing w:after="60" w:before="60" w:line="264"/>
      </w:pPr>
      <w:r>
        <w:rPr>
          <w:rFonts w:ascii="Arial" w:cs="Arial" w:eastAsia="Arial" w:hAnsi="Arial"/>
          <w:b/>
          <w:bCs/>
          <w:sz w:val="20"/>
          <w:szCs w:val="20"/>
        </w:rPr>
        <w:t xml:space="preserve">4. </w:t>
      </w:r>
      <w:r>
        <w:rPr>
          <w:rFonts w:ascii="Arial" w:cs="Arial" w:eastAsia="Arial" w:hAnsi="Arial"/>
          <w:sz w:val="20"/>
          <w:szCs w:val="20"/>
        </w:rPr>
        <w:t xml:space="preserve">Develop pilot programme proposal for initial settlement of 10,000–20,000 residents to test design before scaling.</w:t>
      </w:r>
    </w:p>
    <w:p>
      <w:pPr>
        <w:spacing w:after="60" w:before="60" w:line="264"/>
      </w:pPr>
      <w:r>
        <w:rPr>
          <w:rFonts w:ascii="Arial" w:cs="Arial" w:eastAsia="Arial" w:hAnsi="Arial"/>
          <w:b/>
          <w:bCs/>
          <w:sz w:val="20"/>
          <w:szCs w:val="20"/>
        </w:rPr>
        <w:t xml:space="preserve">5. </w:t>
      </w:r>
      <w:r>
        <w:rPr>
          <w:rFonts w:ascii="Arial" w:cs="Arial" w:eastAsia="Arial" w:hAnsi="Arial"/>
          <w:sz w:val="20"/>
          <w:szCs w:val="20"/>
        </w:rPr>
        <w:t xml:space="preserve">Engage veteran service organisations, housing advocates, and state governors in candidate regions.</w:t>
      </w:r>
    </w:p>
    <w:p>
      <w:pPr>
        <w:spacing w:before="240"/>
      </w:pPr>
    </w:p>
    <w:p>
      <w:pPr>
        <w:pBdr>
          <w:top w:val="single" w:color="2E75B6" w:sz="4" w:space="8"/>
        </w:pBdr>
        <w:spacing w:after="120" w:before="200"/>
      </w:pPr>
      <w:r>
        <w:rPr>
          <w:rFonts w:ascii="Arial" w:cs="Arial" w:eastAsia="Arial" w:hAnsi="Arial"/>
          <w:i/>
          <w:iCs/>
          <w:color w:val="1B3A5C"/>
          <w:sz w:val="20"/>
          <w:szCs w:val="20"/>
        </w:rPr>
        <w:t xml:space="preserve">The United States was built by people who showed up with nothing and turned empty land into communities. That story has another chapter — if Congress is willing to open the land.</w:t>
      </w:r>
    </w:p>
    <w:p>
      <w:pPr>
        <w:spacing w:after="60"/>
      </w:pPr>
      <w:r>
        <w:rPr>
          <w:rFonts w:ascii="Arial" w:cs="Arial" w:eastAsia="Arial" w:hAnsi="Arial"/>
          <w:color w:val="666666"/>
          <w:sz w:val="18"/>
          <w:szCs w:val="18"/>
        </w:rPr>
        <w:t xml:space="preserve">Full feasibility report available upon request.</w:t>
      </w:r>
    </w:p>
    <w:sectPr>
      <w:headerReference w:type="default" r:id="rId7"/>
      <w:footerReference w:type="default" r:id="rId8"/>
      <w:pgSz w:w="12240" w:h="15840" w:orient="portrait"/>
      <w:pgMar w:top="1080" w:right="1260" w:bottom="1080" w:left="126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jc w:val="center"/>
    </w:pPr>
    <w:r>
      <w:rPr>
        <w:rFonts w:ascii="Arial" w:cs="Arial" w:eastAsia="Arial" w:hAnsi="Arial"/>
        <w:color w:val="666666"/>
        <w:sz w:val="16"/>
        <w:szCs w:val="16"/>
      </w:rPr>
      <w:t xml:space="preserve">Page </w:t>
    </w:r>
    <w:r>
      <w:rPr>
        <w:rFonts w:ascii="Arial" w:cs="Arial" w:eastAsia="Arial" w:hAnsi="Arial"/>
        <w:color w:val="666666"/>
        <w:sz w:val="16"/>
        <w:szCs w:val="16"/>
      </w:rPr>
      <w:fldChar w:fldCharType="begin"/>
      <w:instrText xml:space="preserve">PAGE</w:instrText>
      <w:fldChar w:fldCharType="separate"/>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pPr>
      <w:pBdr>
        <w:bottom w:val="single" w:color="1B3A5C" w:sz="6" w:space="4"/>
      </w:pBdr>
      <w:spacing w:after="120"/>
    </w:pPr>
    <w:r>
      <w:rPr>
        <w:rFonts w:ascii="Arial" w:cs="Arial" w:eastAsia="Arial" w:hAnsi="Arial"/>
        <w:b/>
        <w:bCs/>
        <w:color w:val="1B3A5C"/>
        <w:sz w:val="18"/>
        <w:szCs w:val="18"/>
      </w:rPr>
      <w:t xml:space="preserve">POLICY BRIEF</w:t>
    </w:r>
    <w:r>
      <w:ptab w:alignment="right" w:relativeTo="margin" w:leader="none"/>
    </w:r>
    <w:r>
      <w:rPr>
        <w:rFonts w:ascii="Arial" w:cs="Arial" w:eastAsia="Arial" w:hAnsi="Arial"/>
        <w:i/>
        <w:iCs/>
        <w:color w:val="666666"/>
        <w:sz w:val="16"/>
        <w:szCs w:val="16"/>
      </w:rPr>
      <w:t xml:space="preserve">April 2026 — Draft for Discussion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cs="Arial" w:eastAsia="Arial" w:hAnsi="Arial"/>
        <w:sz w:val="20"/>
        <w:szCs w:val="20"/>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header" Target="header1.xml"/><Relationship Id="rId8" Type="http://schemas.openxmlformats.org/officeDocument/2006/relationships/footer" Target="footer1.xml"/><Relationship Id="rId9"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2026-04-01T17:09:52.746Z</dcterms:created>
  <dcterms:modified xsi:type="dcterms:W3CDTF">2026-04-01T17:09:52.747Z</dcterms:modified>
</cp:coreProperties>
</file>

<file path=docProps/custom.xml><?xml version="1.0" encoding="utf-8"?>
<Properties xmlns="http://schemas.openxmlformats.org/officeDocument/2006/custom-properties" xmlns:vt="http://schemas.openxmlformats.org/officeDocument/2006/docPropsVTypes"/>
</file>